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A361" w14:textId="77777777" w:rsidR="00456DCB" w:rsidRDefault="00456DCB"/>
    <w:p w14:paraId="7A09A362" w14:textId="77777777" w:rsidR="00456DCB" w:rsidRDefault="00456DCB"/>
    <w:p w14:paraId="7A09A363" w14:textId="77777777" w:rsidR="00456DCB" w:rsidRDefault="00456DCB"/>
    <w:p w14:paraId="7A09A364" w14:textId="77777777" w:rsidR="00456DCB" w:rsidRDefault="00456DCB"/>
    <w:p w14:paraId="7A09A365" w14:textId="77777777" w:rsidR="00456DCB" w:rsidRDefault="00456DCB"/>
    <w:p w14:paraId="7A09A366" w14:textId="77777777" w:rsidR="00456DCB" w:rsidRDefault="00456DCB"/>
    <w:p w14:paraId="7A09A367" w14:textId="77777777" w:rsidR="00456DCB" w:rsidRDefault="00456DCB"/>
    <w:p w14:paraId="7A09A368" w14:textId="77777777" w:rsidR="00456DCB" w:rsidRDefault="00456DCB"/>
    <w:p w14:paraId="7A09A369" w14:textId="77777777" w:rsidR="00456DCB" w:rsidRDefault="00456DCB"/>
    <w:p w14:paraId="7A09A36A" w14:textId="77777777" w:rsidR="00456DCB" w:rsidRDefault="00456DCB"/>
    <w:p w14:paraId="7A09A36B" w14:textId="77777777" w:rsidR="00456DCB" w:rsidRDefault="00456DCB"/>
    <w:p w14:paraId="7A09A36C" w14:textId="77777777" w:rsidR="00456DCB" w:rsidRDefault="00456DCB"/>
    <w:p w14:paraId="7A09A36D" w14:textId="77777777" w:rsidR="00456DCB" w:rsidRDefault="00456DCB"/>
    <w:p w14:paraId="7A09A36E" w14:textId="77777777" w:rsidR="00456DCB" w:rsidRDefault="00456DCB"/>
    <w:p w14:paraId="7A09A36F" w14:textId="77777777" w:rsidR="00456DCB" w:rsidRDefault="00456DCB"/>
    <w:p w14:paraId="7A09A370" w14:textId="77777777" w:rsidR="00456DCB" w:rsidRDefault="00456DCB"/>
    <w:p w14:paraId="7A09A371" w14:textId="77777777" w:rsidR="00456DCB" w:rsidRDefault="00456DCB"/>
    <w:p w14:paraId="7A09A372" w14:textId="77777777" w:rsidR="00456DCB" w:rsidRDefault="00456DCB"/>
    <w:p w14:paraId="7A09A373" w14:textId="77777777" w:rsidR="00456DCB" w:rsidRDefault="00456DCB"/>
    <w:p w14:paraId="7A09A374" w14:textId="77777777" w:rsidR="00456DCB" w:rsidRDefault="00456DCB"/>
    <w:p w14:paraId="7A09A375" w14:textId="77777777" w:rsidR="00456DCB" w:rsidRDefault="00F022E0">
      <w:pPr>
        <w:jc w:val="center"/>
      </w:pPr>
      <w:r>
        <w:rPr>
          <w:b/>
          <w:bCs/>
          <w:color w:val="2F5496"/>
          <w:sz w:val="34"/>
          <w:szCs w:val="34"/>
        </w:rPr>
        <w:t>INFORMACIÓN BÁSICA SOBRE PROTECCIÓN DE DATOS</w:t>
      </w:r>
    </w:p>
    <w:p w14:paraId="7A09A376" w14:textId="77777777" w:rsidR="00456DCB" w:rsidRDefault="00456DCB">
      <w:pPr>
        <w:spacing w:line="280" w:lineRule="auto"/>
      </w:pPr>
    </w:p>
    <w:p w14:paraId="7A09A377" w14:textId="0D84B496" w:rsidR="00456DCB" w:rsidRDefault="002E2CCF">
      <w:pPr>
        <w:jc w:val="center"/>
      </w:pPr>
      <w:r>
        <w:rPr>
          <w:noProof/>
        </w:rPr>
        <w:drawing>
          <wp:inline distT="0" distB="0" distL="0" distR="0" wp14:anchorId="7A09A3D9" wp14:editId="2F709805">
            <wp:extent cx="885825" cy="6286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A378" w14:textId="77777777" w:rsidR="00456DCB" w:rsidRDefault="00F022E0">
      <w:r>
        <w:br w:type="page"/>
      </w:r>
    </w:p>
    <w:p w14:paraId="7A09A379" w14:textId="77777777" w:rsidR="00456DCB" w:rsidRDefault="00456DCB">
      <w:pPr>
        <w:sectPr w:rsidR="00456DCB">
          <w:pgSz w:w="11905" w:h="16837"/>
          <w:pgMar w:top="1440" w:right="1440" w:bottom="1440" w:left="1440" w:header="720" w:footer="720" w:gutter="0"/>
          <w:cols w:space="720"/>
        </w:sectPr>
      </w:pPr>
    </w:p>
    <w:p w14:paraId="7A09A37B" w14:textId="2AC6D9C6" w:rsidR="00456DCB" w:rsidRDefault="00F022E0" w:rsidP="002E2CCF">
      <w:pPr>
        <w:pStyle w:val="p2Style"/>
      </w:pPr>
      <w:r>
        <w:rPr>
          <w:b/>
          <w:bCs/>
          <w:color w:val="2F5496"/>
          <w:sz w:val="28"/>
          <w:szCs w:val="28"/>
        </w:rPr>
        <w:lastRenderedPageBreak/>
        <w:t>INFORMACIÓN BÁSICA SOBRE PROTECCIÓN DE DATOS</w:t>
      </w:r>
    </w:p>
    <w:p w14:paraId="7A09A37C" w14:textId="77777777" w:rsidR="00456DCB" w:rsidRDefault="00456DCB">
      <w:pPr>
        <w:spacing w:line="280" w:lineRule="auto"/>
      </w:pPr>
    </w:p>
    <w:p w14:paraId="7A09A37D" w14:textId="77777777" w:rsidR="00456DCB" w:rsidRDefault="00456DCB">
      <w:pPr>
        <w:spacing w:line="280" w:lineRule="auto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000"/>
        <w:gridCol w:w="7000"/>
      </w:tblGrid>
      <w:tr w:rsidR="00456DCB" w14:paraId="7A09A37F" w14:textId="77777777">
        <w:trPr>
          <w:cantSplit/>
          <w:tblHeader/>
          <w:jc w:val="center"/>
        </w:trPr>
        <w:tc>
          <w:tcPr>
            <w:tcW w:w="9000" w:type="dxa"/>
            <w:gridSpan w:val="2"/>
            <w:shd w:val="clear" w:color="auto" w:fill="B4C7DC"/>
          </w:tcPr>
          <w:p w14:paraId="7A09A37E" w14:textId="77777777" w:rsidR="00456DCB" w:rsidRDefault="00F022E0">
            <w:pPr>
              <w:jc w:val="left"/>
            </w:pPr>
            <w:r>
              <w:rPr>
                <w:b/>
                <w:bCs/>
              </w:rPr>
              <w:t>INFORMACIÓN BÁSICA SOBRE PROTECCIÓN DE DATOS</w:t>
            </w:r>
          </w:p>
        </w:tc>
      </w:tr>
      <w:tr w:rsidR="00456DCB" w14:paraId="7A09A382" w14:textId="77777777">
        <w:trPr>
          <w:cantSplit/>
          <w:tblHeader/>
          <w:jc w:val="center"/>
        </w:trPr>
        <w:tc>
          <w:tcPr>
            <w:tcW w:w="2000" w:type="dxa"/>
          </w:tcPr>
          <w:p w14:paraId="7A09A380" w14:textId="77777777" w:rsidR="00456DCB" w:rsidRDefault="00F022E0">
            <w:pPr>
              <w:jc w:val="left"/>
            </w:pPr>
            <w:r>
              <w:t>Responsable</w:t>
            </w:r>
          </w:p>
        </w:tc>
        <w:tc>
          <w:tcPr>
            <w:tcW w:w="7000" w:type="dxa"/>
          </w:tcPr>
          <w:p w14:paraId="7A09A381" w14:textId="77777777" w:rsidR="00456DCB" w:rsidRDefault="00F022E0">
            <w:r>
              <w:t>Ayuntamiento de Santa Eulària des Riu</w:t>
            </w:r>
          </w:p>
        </w:tc>
      </w:tr>
      <w:tr w:rsidR="00456DCB" w14:paraId="7A09A385" w14:textId="77777777">
        <w:trPr>
          <w:cantSplit/>
          <w:tblHeader/>
          <w:jc w:val="center"/>
        </w:trPr>
        <w:tc>
          <w:tcPr>
            <w:tcW w:w="2000" w:type="dxa"/>
          </w:tcPr>
          <w:p w14:paraId="7A09A383" w14:textId="77777777" w:rsidR="00456DCB" w:rsidRDefault="00F022E0">
            <w:pPr>
              <w:jc w:val="left"/>
            </w:pPr>
            <w:r>
              <w:t>Finalidad</w:t>
            </w:r>
          </w:p>
        </w:tc>
        <w:tc>
          <w:tcPr>
            <w:tcW w:w="7000" w:type="dxa"/>
          </w:tcPr>
          <w:p w14:paraId="7A09A384" w14:textId="77777777" w:rsidR="00456DCB" w:rsidRDefault="00F022E0">
            <w:r>
              <w:t>Seguridad, Seguridad ciudadana y prevención de delitos.</w:t>
            </w:r>
          </w:p>
        </w:tc>
      </w:tr>
      <w:tr w:rsidR="00456DCB" w14:paraId="7A09A388" w14:textId="77777777">
        <w:trPr>
          <w:cantSplit/>
          <w:tblHeader/>
          <w:jc w:val="center"/>
        </w:trPr>
        <w:tc>
          <w:tcPr>
            <w:tcW w:w="2000" w:type="dxa"/>
          </w:tcPr>
          <w:p w14:paraId="7A09A386" w14:textId="77777777" w:rsidR="00456DCB" w:rsidRDefault="00F022E0">
            <w:pPr>
              <w:jc w:val="left"/>
            </w:pPr>
            <w:r>
              <w:t>Legitimación</w:t>
            </w:r>
          </w:p>
        </w:tc>
        <w:tc>
          <w:tcPr>
            <w:tcW w:w="7000" w:type="dxa"/>
          </w:tcPr>
          <w:p w14:paraId="7A09A387" w14:textId="77777777" w:rsidR="00456DCB" w:rsidRDefault="00F022E0">
            <w:r>
              <w:t>Cumplimiento de una misión realizada en interés público o en el ejercicio de poderes públicos</w:t>
            </w:r>
          </w:p>
        </w:tc>
      </w:tr>
      <w:tr w:rsidR="00456DCB" w14:paraId="7A09A38B" w14:textId="77777777">
        <w:trPr>
          <w:cantSplit/>
          <w:tblHeader/>
          <w:jc w:val="center"/>
        </w:trPr>
        <w:tc>
          <w:tcPr>
            <w:tcW w:w="2000" w:type="dxa"/>
          </w:tcPr>
          <w:p w14:paraId="7A09A389" w14:textId="77777777" w:rsidR="00456DCB" w:rsidRDefault="00F022E0">
            <w:pPr>
              <w:jc w:val="left"/>
            </w:pPr>
            <w:r>
              <w:t>Destinatarios</w:t>
            </w:r>
          </w:p>
        </w:tc>
        <w:tc>
          <w:tcPr>
            <w:tcW w:w="7000" w:type="dxa"/>
          </w:tcPr>
          <w:p w14:paraId="7A09A38A" w14:textId="77777777" w:rsidR="00456DCB" w:rsidRDefault="00F022E0">
            <w:r>
              <w:t>Los datos de carácter personal pueden ser comunicados a Autoridad Judicial, Ministerio Fiscal y/o Delegación/Subdelegación de Gobierno., Fuerzas y Cuerpos de Seguridad del Estado., UNIWAY.</w:t>
            </w:r>
          </w:p>
        </w:tc>
      </w:tr>
      <w:tr w:rsidR="00456DCB" w14:paraId="7A09A38E" w14:textId="77777777">
        <w:trPr>
          <w:cantSplit/>
          <w:tblHeader/>
          <w:jc w:val="center"/>
        </w:trPr>
        <w:tc>
          <w:tcPr>
            <w:tcW w:w="2000" w:type="dxa"/>
          </w:tcPr>
          <w:p w14:paraId="7A09A38C" w14:textId="77777777" w:rsidR="00456DCB" w:rsidRDefault="00F022E0">
            <w:pPr>
              <w:jc w:val="left"/>
            </w:pPr>
            <w:r>
              <w:t>Transferencias internacionales</w:t>
            </w:r>
          </w:p>
        </w:tc>
        <w:tc>
          <w:tcPr>
            <w:tcW w:w="7000" w:type="dxa"/>
          </w:tcPr>
          <w:p w14:paraId="7A09A38D" w14:textId="77777777" w:rsidR="00456DCB" w:rsidRDefault="00F022E0">
            <w:r>
              <w:t>No existen transferencias internacionales</w:t>
            </w:r>
          </w:p>
        </w:tc>
      </w:tr>
      <w:tr w:rsidR="00456DCB" w14:paraId="7A09A392" w14:textId="77777777">
        <w:trPr>
          <w:cantSplit/>
          <w:tblHeader/>
          <w:jc w:val="center"/>
        </w:trPr>
        <w:tc>
          <w:tcPr>
            <w:tcW w:w="2000" w:type="dxa"/>
          </w:tcPr>
          <w:p w14:paraId="7A09A38F" w14:textId="77777777" w:rsidR="00456DCB" w:rsidRDefault="00F022E0">
            <w:pPr>
              <w:jc w:val="left"/>
            </w:pPr>
            <w:r>
              <w:t>Conservación</w:t>
            </w:r>
          </w:p>
        </w:tc>
        <w:tc>
          <w:tcPr>
            <w:tcW w:w="7000" w:type="dxa"/>
          </w:tcPr>
          <w:p w14:paraId="7A09A390" w14:textId="77777777" w:rsidR="00456DCB" w:rsidRDefault="00F022E0">
            <w:r>
              <w:t>Seguridad: 3 meses, salvo que las imágenes captadas muestren la comisión de un hecho presuntamente delictivo, en cuyo caso se conservará el plazo necesario que determine la Autoridad Judicial que conozca del asunto.</w:t>
            </w:r>
          </w:p>
          <w:p w14:paraId="7A09A391" w14:textId="77777777" w:rsidR="00456DCB" w:rsidRDefault="00F022E0">
            <w:r>
              <w:t>Seguridad ciudadana y prevención de delitos.: 3 meses, salvo que las imágenes captadas muestren la comisión de un hecho presuntamente delictivo, en cuyo caso se conservará el plazo necesario que determine la Autoridad Judicial que conozca del asunto.</w:t>
            </w:r>
          </w:p>
        </w:tc>
      </w:tr>
      <w:tr w:rsidR="00456DCB" w14:paraId="7A09A395" w14:textId="77777777">
        <w:trPr>
          <w:cantSplit/>
          <w:tblHeader/>
          <w:jc w:val="center"/>
        </w:trPr>
        <w:tc>
          <w:tcPr>
            <w:tcW w:w="2000" w:type="dxa"/>
          </w:tcPr>
          <w:p w14:paraId="7A09A393" w14:textId="77777777" w:rsidR="00456DCB" w:rsidRDefault="00F022E0">
            <w:pPr>
              <w:jc w:val="left"/>
            </w:pPr>
            <w:r>
              <w:t>Derechos</w:t>
            </w:r>
          </w:p>
        </w:tc>
        <w:tc>
          <w:tcPr>
            <w:tcW w:w="7000" w:type="dxa"/>
          </w:tcPr>
          <w:p w14:paraId="7A09A394" w14:textId="02C9D9DE" w:rsidR="00456DCB" w:rsidRDefault="00F022E0">
            <w:r>
              <w:t>Puede ejercitar sus derechos de acceso, rectificación, supresión y portabilidad de sus datos, de limitación y oposición a su tratamiento, así como a no ser objeto de decisiones basadas únicamente en el tratamiento automatizado de sus datos cuando proceda, ante Ayuntamiento de Santa Eulària des Riu, PZ ESPAÑA, Nº 1, 07840, SANTA EULA</w:t>
            </w:r>
            <w:r w:rsidR="00F92C7C">
              <w:t>RI</w:t>
            </w:r>
            <w:r>
              <w:t>A DE</w:t>
            </w:r>
            <w:r w:rsidR="00F92C7C">
              <w:t>S</w:t>
            </w:r>
            <w:r>
              <w:t xml:space="preserve"> RI</w:t>
            </w:r>
            <w:r w:rsidR="00F92C7C">
              <w:t>U</w:t>
            </w:r>
            <w:r>
              <w:t xml:space="preserve">, IBIZA, España o en la dirección de correo electrónico </w:t>
            </w:r>
            <w:r w:rsidR="00D727A8">
              <w:t>alcaldia@santaeularia.com</w:t>
            </w:r>
          </w:p>
        </w:tc>
      </w:tr>
      <w:tr w:rsidR="00456DCB" w14:paraId="7A09A398" w14:textId="77777777">
        <w:trPr>
          <w:cantSplit/>
          <w:tblHeader/>
          <w:jc w:val="center"/>
        </w:trPr>
        <w:tc>
          <w:tcPr>
            <w:tcW w:w="2000" w:type="dxa"/>
          </w:tcPr>
          <w:p w14:paraId="7A09A396" w14:textId="77777777" w:rsidR="00456DCB" w:rsidRDefault="00F022E0">
            <w:pPr>
              <w:jc w:val="left"/>
            </w:pPr>
            <w:r>
              <w:t>Información adicional</w:t>
            </w:r>
          </w:p>
        </w:tc>
        <w:tc>
          <w:tcPr>
            <w:tcW w:w="7000" w:type="dxa"/>
          </w:tcPr>
          <w:p w14:paraId="7A09A397" w14:textId="3112CEC4" w:rsidR="00456DCB" w:rsidRDefault="00456DCB"/>
        </w:tc>
      </w:tr>
    </w:tbl>
    <w:p w14:paraId="7A09A399" w14:textId="77777777" w:rsidR="00456DCB" w:rsidRDefault="00F022E0">
      <w:r>
        <w:br w:type="page"/>
      </w:r>
    </w:p>
    <w:sectPr w:rsidR="00456DCB">
      <w:headerReference w:type="default" r:id="rId8"/>
      <w:footerReference w:type="default" r:id="rId9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4392" w14:textId="77777777" w:rsidR="007B28F8" w:rsidRDefault="007B28F8">
      <w:pPr>
        <w:spacing w:after="0" w:line="240" w:lineRule="auto"/>
      </w:pPr>
      <w:r>
        <w:separator/>
      </w:r>
    </w:p>
  </w:endnote>
  <w:endnote w:type="continuationSeparator" w:id="0">
    <w:p w14:paraId="48AFB466" w14:textId="77777777" w:rsidR="007B28F8" w:rsidRDefault="007B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A3DC" w14:textId="77777777" w:rsidR="00456DCB" w:rsidRDefault="00456DCB">
    <w:pPr>
      <w:pBdr>
        <w:bottom w:val="single" w:sz="6" w:space="0" w:color="auto"/>
      </w:pBdr>
    </w:pPr>
  </w:p>
  <w:p w14:paraId="7A09A3DD" w14:textId="77777777" w:rsidR="00456DCB" w:rsidRDefault="00F022E0">
    <w:pPr>
      <w:jc w:val="center"/>
    </w:pPr>
    <w:r>
      <w:rPr>
        <w:sz w:val="14"/>
        <w:szCs w:val="14"/>
      </w:rPr>
      <w:t>INFORMACIÓN BÁSICA SOBRE PROTECCIÓN DE DATOS</w:t>
    </w:r>
  </w:p>
  <w:p w14:paraId="7A09A3DE" w14:textId="703F9B8A" w:rsidR="00456DCB" w:rsidRDefault="00F022E0">
    <w:pPr>
      <w:jc w:val="center"/>
    </w:pPr>
    <w:r>
      <w:rPr>
        <w:sz w:val="14"/>
        <w:szCs w:val="14"/>
      </w:rPr>
      <w:t xml:space="preserve">Página </w:t>
    </w:r>
    <w:r>
      <w:fldChar w:fldCharType="begin"/>
    </w:r>
    <w:r>
      <w:rPr>
        <w:sz w:val="14"/>
        <w:szCs w:val="14"/>
      </w:rPr>
      <w:instrText>PAGE</w:instrText>
    </w:r>
    <w:r>
      <w:fldChar w:fldCharType="separate"/>
    </w:r>
    <w:r w:rsidR="00F92C7C">
      <w:rPr>
        <w:noProof/>
        <w:sz w:val="14"/>
        <w:szCs w:val="14"/>
      </w:rPr>
      <w:t>2</w:t>
    </w:r>
    <w:r>
      <w:fldChar w:fldCharType="end"/>
    </w:r>
    <w:r>
      <w:rPr>
        <w:sz w:val="14"/>
        <w:szCs w:val="14"/>
      </w:rPr>
      <w:t xml:space="preserve"> de </w:t>
    </w:r>
    <w:r>
      <w:fldChar w:fldCharType="begin"/>
    </w:r>
    <w:r>
      <w:rPr>
        <w:sz w:val="14"/>
        <w:szCs w:val="14"/>
      </w:rPr>
      <w:instrText>NUMPAGES</w:instrText>
    </w:r>
    <w:r>
      <w:fldChar w:fldCharType="separate"/>
    </w:r>
    <w:r w:rsidR="00F92C7C">
      <w:rPr>
        <w:noProof/>
        <w:sz w:val="14"/>
        <w:szCs w:val="14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2205" w14:textId="77777777" w:rsidR="007B28F8" w:rsidRDefault="007B28F8">
      <w:pPr>
        <w:spacing w:after="0" w:line="240" w:lineRule="auto"/>
      </w:pPr>
      <w:r>
        <w:separator/>
      </w:r>
    </w:p>
  </w:footnote>
  <w:footnote w:type="continuationSeparator" w:id="0">
    <w:p w14:paraId="738A8B52" w14:textId="77777777" w:rsidR="007B28F8" w:rsidRDefault="007B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A3DA" w14:textId="63489C8A" w:rsidR="00456DCB" w:rsidRDefault="002E2CCF">
    <w:r>
      <w:rPr>
        <w:noProof/>
      </w:rPr>
      <w:drawing>
        <wp:anchor distT="0" distB="0" distL="114300" distR="114300" simplePos="0" relativeHeight="251657728" behindDoc="0" locked="0" layoutInCell="1" allowOverlap="1" wp14:anchorId="7A09A3DF" wp14:editId="2AB7ABDA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774700" cy="62992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9A3DB" w14:textId="599D3520" w:rsidR="00456DCB" w:rsidRDefault="002E2CCF">
    <w:pPr>
      <w:jc w:val="right"/>
    </w:pPr>
    <w:r>
      <w:rPr>
        <w:noProof/>
      </w:rPr>
      <w:drawing>
        <wp:inline distT="0" distB="0" distL="0" distR="0" wp14:anchorId="7A09A3E0" wp14:editId="134F05C6">
          <wp:extent cx="885825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EF5D"/>
    <w:multiLevelType w:val="hybridMultilevel"/>
    <w:tmpl w:val="BD98284C"/>
    <w:lvl w:ilvl="0" w:tplc="33325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45C1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9E47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76FC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8898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A44E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2211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F96B6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A2E4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CB"/>
    <w:rsid w:val="001379EA"/>
    <w:rsid w:val="002E2CCF"/>
    <w:rsid w:val="00456DCB"/>
    <w:rsid w:val="007B28F8"/>
    <w:rsid w:val="00D727A8"/>
    <w:rsid w:val="00F022E0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9A361"/>
  <w15:docId w15:val="{E5547511-B212-41D6-B983-DD2A4165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2Style">
    <w:name w:val="p2Style"/>
    <w:basedOn w:val="Normal"/>
    <w:pPr>
      <w:spacing w:after="100"/>
      <w:jc w:val="center"/>
    </w:pPr>
  </w:style>
  <w:style w:type="character" w:customStyle="1" w:styleId="r2Style">
    <w:name w:val="r2Style"/>
    <w:rPr>
      <w:b/>
      <w:bCs/>
      <w:i w:val="0"/>
      <w:iCs w:val="0"/>
      <w:color w:val="293864"/>
      <w:sz w:val="30"/>
      <w:szCs w:val="30"/>
    </w:rPr>
  </w:style>
  <w:style w:type="paragraph" w:customStyle="1" w:styleId="paragraphStyle">
    <w:name w:val="paragraphStyle"/>
    <w:basedOn w:val="Normal"/>
    <w:pPr>
      <w:spacing w:line="72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1364</Characters>
  <Application>Microsoft Office Word</Application>
  <DocSecurity>0</DocSecurity>
  <Lines>11</Lines>
  <Paragraphs>3</Paragraphs>
  <ScaleCrop>false</ScaleCrop>
  <Manager/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dc:description/>
  <cp:lastModifiedBy>Gil</cp:lastModifiedBy>
  <cp:revision>2</cp:revision>
  <dcterms:created xsi:type="dcterms:W3CDTF">2021-06-15T09:20:00Z</dcterms:created>
  <dcterms:modified xsi:type="dcterms:W3CDTF">2021-06-15T09:20:00Z</dcterms:modified>
  <cp:category/>
</cp:coreProperties>
</file>