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560"/>
      </w:tblGrid>
      <w:tr w:rsidR="00974EF8" w:rsidRPr="008F2590" w14:paraId="5D58748C" w14:textId="77777777">
        <w:trPr>
          <w:jc w:val="center"/>
        </w:trPr>
        <w:tc>
          <w:tcPr>
            <w:tcW w:w="9605" w:type="dxa"/>
            <w:tcBorders>
              <w:left w:val="single" w:sz="36" w:space="0" w:color="00407A"/>
            </w:tcBorders>
            <w:shd w:val="clear" w:color="auto" w:fill="F0F4F8"/>
            <w:tcMar>
              <w:top w:w="140" w:type="dxa"/>
              <w:left w:w="200" w:type="dxa"/>
              <w:bottom w:w="140" w:type="dxa"/>
              <w:right w:w="200" w:type="dxa"/>
            </w:tcMar>
          </w:tcPr>
          <w:p w14:paraId="3E8D7440" w14:textId="77777777" w:rsidR="00974EF8" w:rsidRPr="008F2590" w:rsidRDefault="00000000">
            <w:pPr>
              <w:spacing w:after="40"/>
              <w:rPr>
                <w:lang w:val="es-ES"/>
              </w:rPr>
            </w:pPr>
            <w:r w:rsidRPr="008F2590">
              <w:rPr>
                <w:b/>
                <w:color w:val="00407A"/>
                <w:sz w:val="26"/>
                <w:lang w:val="es-ES"/>
              </w:rPr>
              <w:t>INFORME DE EVALUACIÓN: SERVICIO LÍNEA VERDE 2025</w:t>
            </w:r>
          </w:p>
          <w:p w14:paraId="53B18C19" w14:textId="7AF9227F" w:rsidR="00974EF8" w:rsidRPr="008F2590" w:rsidRDefault="008F2590">
            <w:pPr>
              <w:spacing w:after="0"/>
              <w:rPr>
                <w:lang w:val="es-ES"/>
              </w:rPr>
            </w:pPr>
            <w:r>
              <w:rPr>
                <w:i/>
                <w:color w:val="475569"/>
                <w:sz w:val="19"/>
                <w:lang w:val="es-ES"/>
              </w:rPr>
              <w:t>Fecha de actualización 16/01/2026</w:t>
            </w:r>
          </w:p>
        </w:tc>
      </w:tr>
    </w:tbl>
    <w:p w14:paraId="75BAF12F" w14:textId="77777777" w:rsidR="008F2590" w:rsidRDefault="008F2590">
      <w:pPr>
        <w:spacing w:after="120"/>
        <w:jc w:val="both"/>
        <w:rPr>
          <w:lang w:val="es-ES"/>
        </w:rPr>
      </w:pPr>
    </w:p>
    <w:p w14:paraId="76BE40A2" w14:textId="70DBC417" w:rsidR="00974EF8" w:rsidRPr="008F2590" w:rsidRDefault="00000000">
      <w:pPr>
        <w:spacing w:after="120"/>
        <w:jc w:val="both"/>
        <w:rPr>
          <w:lang w:val="es-ES"/>
        </w:rPr>
      </w:pPr>
      <w:r w:rsidRPr="008F2590">
        <w:rPr>
          <w:lang w:val="es-ES"/>
        </w:rPr>
        <w:t xml:space="preserve">En el año 2014, el </w:t>
      </w:r>
      <w:proofErr w:type="spellStart"/>
      <w:r w:rsidR="008F2590" w:rsidRPr="008F2590">
        <w:rPr>
          <w:lang w:val="es-ES"/>
        </w:rPr>
        <w:t>Ajuntament</w:t>
      </w:r>
      <w:proofErr w:type="spellEnd"/>
      <w:r w:rsidRPr="008F2590">
        <w:rPr>
          <w:lang w:val="es-ES"/>
        </w:rPr>
        <w:t xml:space="preserve"> de Santa Eulària des Riu implantó la plataforma </w:t>
      </w:r>
      <w:r w:rsidRPr="008F2590">
        <w:rPr>
          <w:i/>
          <w:lang w:val="es-ES"/>
        </w:rPr>
        <w:t>Línea Verde</w:t>
      </w:r>
      <w:r w:rsidRPr="008F2590">
        <w:rPr>
          <w:lang w:val="es-ES"/>
        </w:rPr>
        <w:t xml:space="preserve"> como un canal directo de comunicación entre la ciudadanía y las áreas operativas municipales. Esta iniciativa agiliza la resolución de incidencias en la vía pública e involucra activamente a la comunidad en el mantenimiento y mejora del municipio.</w:t>
      </w:r>
    </w:p>
    <w:p w14:paraId="7BC28793" w14:textId="77777777" w:rsidR="00974EF8" w:rsidRPr="008F2590" w:rsidRDefault="00000000">
      <w:pPr>
        <w:spacing w:after="120"/>
        <w:jc w:val="both"/>
        <w:rPr>
          <w:lang w:val="es-ES"/>
        </w:rPr>
      </w:pPr>
      <w:r w:rsidRPr="008F2590">
        <w:rPr>
          <w:lang w:val="es-ES"/>
        </w:rPr>
        <w:t>Además de su función de recepción de incidencias, el servicio se ha consolidado como un canal oficial de información ciudadana. A través de la aplicación móvil se emiten avisos sobre cortes de calles por eventos deportivos o festividades, alertas de cortes de agua y novedades sobre bonificaciones en las tasas de basura por reciclaje. Asimismo, las consultas vecinales son atendidas directamente por un equipo técnico especializado.</w:t>
      </w:r>
    </w:p>
    <w:p w14:paraId="70D81500" w14:textId="77777777" w:rsidR="00974EF8" w:rsidRPr="008F2590" w:rsidRDefault="00000000">
      <w:pPr>
        <w:keepNext/>
        <w:pBdr>
          <w:bottom w:val="single" w:sz="12" w:space="2" w:color="00407A"/>
        </w:pBdr>
        <w:spacing w:before="280" w:after="80"/>
        <w:rPr>
          <w:lang w:val="es-ES"/>
        </w:rPr>
      </w:pPr>
      <w:r w:rsidRPr="008F2590">
        <w:rPr>
          <w:b/>
          <w:color w:val="00407A"/>
          <w:sz w:val="22"/>
          <w:lang w:val="es-ES"/>
        </w:rPr>
        <w:t>2. COMUNICACIONES E INFORMACIÓN AL CIUDADANO</w:t>
      </w:r>
    </w:p>
    <w:p w14:paraId="2CAA91EB" w14:textId="77777777" w:rsidR="00974EF8" w:rsidRPr="008F2590" w:rsidRDefault="00000000">
      <w:pPr>
        <w:spacing w:after="120"/>
        <w:jc w:val="both"/>
        <w:rPr>
          <w:lang w:val="es-ES"/>
        </w:rPr>
      </w:pPr>
      <w:r w:rsidRPr="008F2590">
        <w:rPr>
          <w:lang w:val="es-ES"/>
        </w:rPr>
        <w:t xml:space="preserve">Las comunicaciones unidireccionales desde el ayuntamiento hacia los ciudadanos se realizan mediante notificaciones </w:t>
      </w:r>
      <w:proofErr w:type="spellStart"/>
      <w:r w:rsidRPr="008F2590">
        <w:rPr>
          <w:lang w:val="es-ES"/>
        </w:rPr>
        <w:t>push</w:t>
      </w:r>
      <w:proofErr w:type="spellEnd"/>
      <w:r w:rsidRPr="008F2590">
        <w:rPr>
          <w:lang w:val="es-ES"/>
        </w:rPr>
        <w:t xml:space="preserve"> en la </w:t>
      </w:r>
      <w:proofErr w:type="gramStart"/>
      <w:r w:rsidRPr="008F2590">
        <w:rPr>
          <w:lang w:val="es-ES"/>
        </w:rPr>
        <w:t>app</w:t>
      </w:r>
      <w:proofErr w:type="gramEnd"/>
      <w:r w:rsidRPr="008F2590">
        <w:rPr>
          <w:lang w:val="es-ES"/>
        </w:rPr>
        <w:t>. La mayoría de los envíos informan sobre afecciones al tráfico por carreras o fiestas locales, así como avisos de relevante interés municipal, utilizando la Línea Verde como un canal complementario y prioritario de comunicación.</w:t>
      </w:r>
    </w:p>
    <w:p w14:paraId="26ACB406" w14:textId="77777777" w:rsidR="00974EF8" w:rsidRPr="008F2590" w:rsidRDefault="00000000">
      <w:pPr>
        <w:keepNext/>
        <w:pBdr>
          <w:bottom w:val="single" w:sz="12" w:space="2" w:color="00407A"/>
        </w:pBdr>
        <w:spacing w:before="280" w:after="80"/>
        <w:rPr>
          <w:lang w:val="es-ES"/>
        </w:rPr>
      </w:pPr>
      <w:r w:rsidRPr="008F2590">
        <w:rPr>
          <w:b/>
          <w:color w:val="00407A"/>
          <w:sz w:val="22"/>
          <w:lang w:val="es-ES"/>
        </w:rPr>
        <w:t>3. BALANCE EVOLUTIVO Y GESTIÓN DE INCIDENCIAS (2014 – 2025)</w:t>
      </w:r>
    </w:p>
    <w:p w14:paraId="4A8300E1" w14:textId="77777777" w:rsidR="00974EF8" w:rsidRPr="008F2590" w:rsidRDefault="00000000">
      <w:pPr>
        <w:spacing w:after="160"/>
        <w:jc w:val="both"/>
        <w:rPr>
          <w:lang w:val="es-ES"/>
        </w:rPr>
      </w:pPr>
      <w:r w:rsidRPr="008F2590">
        <w:rPr>
          <w:lang w:val="es-ES"/>
        </w:rPr>
        <w:t>Desde 2014, el uso de la plataforma ha mostrado un crecimiento continuo, pasando de unas 280 incidencias en el año de su implantación a 9.856 incidencias en 2025. Durante el último año se constató un leve incremento respecto a 2024, registrándose 2.552 incidencias adicionales. En el conjunto de estos 11 años, el Ayuntamiento ha gestionado un total acumulado de 48.458 incidencias.</w:t>
      </w:r>
    </w:p>
    <w:tbl>
      <w:tblPr>
        <w:tblW w:w="0" w:type="auto"/>
        <w:jc w:val="center"/>
        <w:tblBorders>
          <w:top w:val="single" w:sz="4" w:space="0" w:color="D9D9D9"/>
          <w:bottom w:val="single" w:sz="4" w:space="0" w:color="D9D9D9"/>
          <w:insideH w:val="single" w:sz="4" w:space="0" w:color="D9D9D9"/>
        </w:tblBorders>
        <w:tblLook w:val="04A0" w:firstRow="1" w:lastRow="0" w:firstColumn="1" w:lastColumn="0" w:noHBand="0" w:noVBand="1"/>
      </w:tblPr>
      <w:tblGrid>
        <w:gridCol w:w="5472"/>
        <w:gridCol w:w="2016"/>
        <w:gridCol w:w="2117"/>
      </w:tblGrid>
      <w:tr w:rsidR="00974EF8" w14:paraId="0F5829B9" w14:textId="77777777">
        <w:trPr>
          <w:jc w:val="center"/>
        </w:trPr>
        <w:tc>
          <w:tcPr>
            <w:tcW w:w="5472" w:type="dxa"/>
            <w:shd w:val="clear" w:color="auto" w:fill="00407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C58225" w14:textId="77777777" w:rsidR="00974EF8" w:rsidRDefault="00000000">
            <w:pPr>
              <w:spacing w:after="0"/>
            </w:pPr>
            <w:r>
              <w:rPr>
                <w:b/>
                <w:color w:val="FFFFFF"/>
                <w:sz w:val="17"/>
              </w:rPr>
              <w:t>Estado de Gestión (Histórico 2014–2025)</w:t>
            </w:r>
          </w:p>
        </w:tc>
        <w:tc>
          <w:tcPr>
            <w:tcW w:w="2016" w:type="dxa"/>
            <w:shd w:val="clear" w:color="auto" w:fill="00407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A1E8715" w14:textId="77777777" w:rsidR="00974EF8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7"/>
              </w:rPr>
              <w:t>N.º Incidencias</w:t>
            </w:r>
          </w:p>
        </w:tc>
        <w:tc>
          <w:tcPr>
            <w:tcW w:w="2117" w:type="dxa"/>
            <w:shd w:val="clear" w:color="auto" w:fill="00407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030E89A" w14:textId="77777777" w:rsidR="00974EF8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7"/>
              </w:rPr>
              <w:t>Porcentaje (%)</w:t>
            </w:r>
          </w:p>
        </w:tc>
      </w:tr>
      <w:tr w:rsidR="00974EF8" w14:paraId="6F74A462" w14:textId="77777777">
        <w:trPr>
          <w:jc w:val="center"/>
        </w:trPr>
        <w:tc>
          <w:tcPr>
            <w:tcW w:w="5472" w:type="dxa"/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44456683" w14:textId="77777777" w:rsidR="00974EF8" w:rsidRDefault="00000000">
            <w:pPr>
              <w:spacing w:after="0"/>
            </w:pPr>
            <w:r>
              <w:rPr>
                <w:b/>
                <w:sz w:val="17"/>
              </w:rPr>
              <w:t>Solucionadas (Gestión completada)</w:t>
            </w:r>
          </w:p>
        </w:tc>
        <w:tc>
          <w:tcPr>
            <w:tcW w:w="2016" w:type="dxa"/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57A944B" w14:textId="77777777" w:rsidR="00974EF8" w:rsidRDefault="00000000">
            <w:pPr>
              <w:spacing w:after="0"/>
              <w:jc w:val="center"/>
            </w:pPr>
            <w:r>
              <w:rPr>
                <w:sz w:val="17"/>
              </w:rPr>
              <w:t>38.523</w:t>
            </w:r>
          </w:p>
        </w:tc>
        <w:tc>
          <w:tcPr>
            <w:tcW w:w="2117" w:type="dxa"/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A97DFE2" w14:textId="77777777" w:rsidR="00974EF8" w:rsidRDefault="00000000">
            <w:pPr>
              <w:spacing w:after="0"/>
              <w:jc w:val="center"/>
            </w:pPr>
            <w:r>
              <w:rPr>
                <w:sz w:val="17"/>
              </w:rPr>
              <w:t>89,87 %</w:t>
            </w:r>
          </w:p>
        </w:tc>
      </w:tr>
      <w:tr w:rsidR="00974EF8" w14:paraId="27A11447" w14:textId="77777777">
        <w:trPr>
          <w:jc w:val="center"/>
        </w:trPr>
        <w:tc>
          <w:tcPr>
            <w:tcW w:w="5472" w:type="dxa"/>
            <w:shd w:val="clear" w:color="auto" w:fill="F8FAFC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8D34826" w14:textId="77777777" w:rsidR="00974EF8" w:rsidRPr="008F2590" w:rsidRDefault="00000000">
            <w:pPr>
              <w:spacing w:after="0"/>
              <w:rPr>
                <w:lang w:val="es-ES"/>
              </w:rPr>
            </w:pPr>
            <w:r w:rsidRPr="008F2590">
              <w:rPr>
                <w:sz w:val="17"/>
                <w:lang w:val="es-ES"/>
              </w:rPr>
              <w:t>No proceden (Criterios técnicos / competencia externa)</w:t>
            </w:r>
          </w:p>
        </w:tc>
        <w:tc>
          <w:tcPr>
            <w:tcW w:w="2016" w:type="dxa"/>
            <w:shd w:val="clear" w:color="auto" w:fill="F8FAFC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0C83C016" w14:textId="77777777" w:rsidR="00974EF8" w:rsidRDefault="00000000">
            <w:pPr>
              <w:spacing w:after="0"/>
              <w:jc w:val="center"/>
            </w:pPr>
            <w:r>
              <w:rPr>
                <w:sz w:val="17"/>
              </w:rPr>
              <w:t>2.352</w:t>
            </w:r>
          </w:p>
        </w:tc>
        <w:tc>
          <w:tcPr>
            <w:tcW w:w="2117" w:type="dxa"/>
            <w:shd w:val="clear" w:color="auto" w:fill="F8FAFC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56CBD25" w14:textId="77777777" w:rsidR="00974EF8" w:rsidRDefault="00000000">
            <w:pPr>
              <w:spacing w:after="0"/>
              <w:jc w:val="center"/>
            </w:pPr>
            <w:r>
              <w:rPr>
                <w:sz w:val="17"/>
              </w:rPr>
              <w:t>5,49 %</w:t>
            </w:r>
          </w:p>
        </w:tc>
      </w:tr>
      <w:tr w:rsidR="00974EF8" w14:paraId="06D33D01" w14:textId="77777777">
        <w:trPr>
          <w:jc w:val="center"/>
        </w:trPr>
        <w:tc>
          <w:tcPr>
            <w:tcW w:w="5472" w:type="dxa"/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993A77B" w14:textId="77777777" w:rsidR="00974EF8" w:rsidRDefault="00000000">
            <w:pPr>
              <w:spacing w:after="0"/>
            </w:pPr>
            <w:r>
              <w:rPr>
                <w:sz w:val="17"/>
              </w:rPr>
              <w:t>Pendientes (En tramitación administrativa)</w:t>
            </w:r>
          </w:p>
        </w:tc>
        <w:tc>
          <w:tcPr>
            <w:tcW w:w="2016" w:type="dxa"/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08D02A8" w14:textId="77777777" w:rsidR="00974EF8" w:rsidRDefault="00000000">
            <w:pPr>
              <w:spacing w:after="0"/>
              <w:jc w:val="center"/>
            </w:pPr>
            <w:r>
              <w:rPr>
                <w:sz w:val="17"/>
              </w:rPr>
              <w:t>1.096</w:t>
            </w:r>
          </w:p>
        </w:tc>
        <w:tc>
          <w:tcPr>
            <w:tcW w:w="2117" w:type="dxa"/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CABD33B" w14:textId="77777777" w:rsidR="00974EF8" w:rsidRDefault="00000000">
            <w:pPr>
              <w:spacing w:after="0"/>
              <w:jc w:val="center"/>
            </w:pPr>
            <w:r>
              <w:rPr>
                <w:sz w:val="17"/>
              </w:rPr>
              <w:t>2,56 %</w:t>
            </w:r>
          </w:p>
        </w:tc>
      </w:tr>
      <w:tr w:rsidR="00974EF8" w14:paraId="0A742F68" w14:textId="77777777">
        <w:trPr>
          <w:jc w:val="center"/>
        </w:trPr>
        <w:tc>
          <w:tcPr>
            <w:tcW w:w="5472" w:type="dxa"/>
            <w:shd w:val="clear" w:color="auto" w:fill="F8FAFC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0D7F62C" w14:textId="77777777" w:rsidR="00974EF8" w:rsidRPr="008F2590" w:rsidRDefault="00000000">
            <w:pPr>
              <w:spacing w:after="0"/>
              <w:rPr>
                <w:lang w:val="es-ES"/>
              </w:rPr>
            </w:pPr>
            <w:r w:rsidRPr="008F2590">
              <w:rPr>
                <w:sz w:val="17"/>
                <w:lang w:val="es-ES"/>
              </w:rPr>
              <w:t>En proceso (Actuación técnica en curso)</w:t>
            </w:r>
          </w:p>
        </w:tc>
        <w:tc>
          <w:tcPr>
            <w:tcW w:w="2016" w:type="dxa"/>
            <w:shd w:val="clear" w:color="auto" w:fill="F8FAFC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80BF9A3" w14:textId="77777777" w:rsidR="00974EF8" w:rsidRDefault="00000000">
            <w:pPr>
              <w:spacing w:after="0"/>
              <w:jc w:val="center"/>
            </w:pPr>
            <w:r>
              <w:rPr>
                <w:sz w:val="17"/>
              </w:rPr>
              <w:t>895</w:t>
            </w:r>
          </w:p>
        </w:tc>
        <w:tc>
          <w:tcPr>
            <w:tcW w:w="2117" w:type="dxa"/>
            <w:shd w:val="clear" w:color="auto" w:fill="F8FAFC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E749B3C" w14:textId="77777777" w:rsidR="00974EF8" w:rsidRDefault="00000000">
            <w:pPr>
              <w:spacing w:after="0"/>
              <w:jc w:val="center"/>
            </w:pPr>
            <w:r>
              <w:rPr>
                <w:sz w:val="17"/>
              </w:rPr>
              <w:t>2,00 %</w:t>
            </w:r>
          </w:p>
        </w:tc>
      </w:tr>
      <w:tr w:rsidR="00974EF8" w14:paraId="5A15DCF1" w14:textId="77777777">
        <w:trPr>
          <w:jc w:val="center"/>
        </w:trPr>
        <w:tc>
          <w:tcPr>
            <w:tcW w:w="5472" w:type="dxa"/>
            <w:shd w:val="clear" w:color="auto" w:fill="E2E8F0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64B5DC2" w14:textId="77777777" w:rsidR="00974EF8" w:rsidRDefault="00000000">
            <w:pPr>
              <w:spacing w:after="0"/>
            </w:pPr>
            <w:r>
              <w:rPr>
                <w:b/>
                <w:sz w:val="17"/>
              </w:rPr>
              <w:t>TOTAL ACUMULADO</w:t>
            </w:r>
          </w:p>
        </w:tc>
        <w:tc>
          <w:tcPr>
            <w:tcW w:w="2016" w:type="dxa"/>
            <w:shd w:val="clear" w:color="auto" w:fill="E2E8F0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4589F10" w14:textId="77777777" w:rsidR="00974EF8" w:rsidRDefault="00000000">
            <w:pPr>
              <w:spacing w:after="0"/>
              <w:jc w:val="center"/>
            </w:pPr>
            <w:r>
              <w:rPr>
                <w:b/>
                <w:sz w:val="17"/>
              </w:rPr>
              <w:t>48.458</w:t>
            </w:r>
          </w:p>
        </w:tc>
        <w:tc>
          <w:tcPr>
            <w:tcW w:w="2117" w:type="dxa"/>
            <w:shd w:val="clear" w:color="auto" w:fill="E2E8F0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46DAFC82" w14:textId="77777777" w:rsidR="00974EF8" w:rsidRDefault="00000000">
            <w:pPr>
              <w:spacing w:after="0"/>
              <w:jc w:val="center"/>
            </w:pPr>
            <w:r>
              <w:rPr>
                <w:b/>
                <w:sz w:val="17"/>
              </w:rPr>
              <w:t>100,00 %</w:t>
            </w:r>
          </w:p>
        </w:tc>
      </w:tr>
    </w:tbl>
    <w:p w14:paraId="47BA103C" w14:textId="1CB730C3" w:rsidR="00974EF8" w:rsidRPr="008F2590" w:rsidRDefault="00000000" w:rsidP="008F2590">
      <w:pPr>
        <w:tabs>
          <w:tab w:val="left" w:pos="2040"/>
        </w:tabs>
        <w:spacing w:before="120" w:after="0"/>
        <w:rPr>
          <w:lang w:val="es-ES"/>
        </w:rPr>
      </w:pPr>
      <w:r w:rsidRPr="008F2590">
        <w:rPr>
          <w:lang w:val="es-ES"/>
        </w:rPr>
        <w:t xml:space="preserve">Las incidencias catalogadas como </w:t>
      </w:r>
      <w:r w:rsidRPr="008F2590">
        <w:rPr>
          <w:i/>
          <w:lang w:val="es-ES"/>
        </w:rPr>
        <w:t>Pendientes</w:t>
      </w:r>
      <w:r w:rsidRPr="008F2590">
        <w:rPr>
          <w:lang w:val="es-ES"/>
        </w:rPr>
        <w:t xml:space="preserve"> obedecen mayoritariamente a trámites administrativos más prolongados. Por ejemplo, la retirada de vehículos abandonados exige notificaciones legales previas e inspecciones hasta ser considerados residuos urbanos para su retirada definitiva.</w:t>
      </w:r>
    </w:p>
    <w:p w14:paraId="480DADC8" w14:textId="596663AD" w:rsidR="00974EF8" w:rsidRPr="008F2590" w:rsidRDefault="00000000">
      <w:pPr>
        <w:keepNext/>
        <w:pBdr>
          <w:bottom w:val="single" w:sz="12" w:space="2" w:color="00407A"/>
        </w:pBdr>
        <w:spacing w:before="280" w:after="80"/>
        <w:rPr>
          <w:b/>
          <w:color w:val="00407A"/>
          <w:sz w:val="22"/>
          <w:lang w:val="es-ES"/>
        </w:rPr>
      </w:pPr>
      <w:r w:rsidRPr="008F2590">
        <w:rPr>
          <w:b/>
          <w:color w:val="00407A"/>
          <w:sz w:val="22"/>
          <w:lang w:val="es-ES"/>
        </w:rPr>
        <w:t>4. ANÁLISIS DETALLADO DEL EJERCICIO 2025</w:t>
      </w:r>
    </w:p>
    <w:p w14:paraId="4FD09F48" w14:textId="77777777" w:rsidR="00974EF8" w:rsidRPr="008F2590" w:rsidRDefault="00000000">
      <w:pPr>
        <w:spacing w:after="120"/>
        <w:jc w:val="both"/>
        <w:rPr>
          <w:lang w:val="es-ES"/>
        </w:rPr>
      </w:pPr>
      <w:r w:rsidRPr="008F2590">
        <w:rPr>
          <w:lang w:val="es-ES"/>
        </w:rPr>
        <w:t xml:space="preserve">En el año 2025 se gestionaron un total de </w:t>
      </w:r>
      <w:r w:rsidRPr="008F2590">
        <w:rPr>
          <w:b/>
          <w:lang w:val="es-ES"/>
        </w:rPr>
        <w:t>6.945 incidencias</w:t>
      </w:r>
      <w:r w:rsidRPr="008F2590">
        <w:rPr>
          <w:lang w:val="es-ES"/>
        </w:rPr>
        <w:t xml:space="preserve"> con el siguiente balance de tramitación:</w:t>
      </w:r>
    </w:p>
    <w:tbl>
      <w:tblPr>
        <w:tblW w:w="0" w:type="auto"/>
        <w:jc w:val="center"/>
        <w:tblBorders>
          <w:top w:val="single" w:sz="4" w:space="0" w:color="D9D9D9"/>
          <w:bottom w:val="single" w:sz="4" w:space="0" w:color="D9D9D9"/>
          <w:insideH w:val="single" w:sz="4" w:space="0" w:color="D9D9D9"/>
        </w:tblBorders>
        <w:tblLook w:val="04A0" w:firstRow="1" w:lastRow="0" w:firstColumn="1" w:lastColumn="0" w:noHBand="0" w:noVBand="1"/>
      </w:tblPr>
      <w:tblGrid>
        <w:gridCol w:w="6882"/>
        <w:gridCol w:w="2684"/>
        <w:gridCol w:w="39"/>
      </w:tblGrid>
      <w:tr w:rsidR="00974EF8" w14:paraId="1F51BC08" w14:textId="77777777">
        <w:trPr>
          <w:jc w:val="center"/>
        </w:trPr>
        <w:tc>
          <w:tcPr>
            <w:tcW w:w="6912" w:type="dxa"/>
            <w:shd w:val="clear" w:color="auto" w:fill="00407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17B6DE4" w14:textId="77777777" w:rsidR="00974EF8" w:rsidRDefault="00000000">
            <w:pPr>
              <w:spacing w:after="0"/>
            </w:pPr>
            <w:r>
              <w:rPr>
                <w:b/>
                <w:color w:val="FFFFFF"/>
                <w:sz w:val="17"/>
              </w:rPr>
              <w:t xml:space="preserve">Estado de </w:t>
            </w:r>
            <w:proofErr w:type="spellStart"/>
            <w:r>
              <w:rPr>
                <w:b/>
                <w:color w:val="FFFFFF"/>
                <w:sz w:val="17"/>
              </w:rPr>
              <w:t>Tramitación</w:t>
            </w:r>
            <w:proofErr w:type="spellEnd"/>
            <w:r>
              <w:rPr>
                <w:b/>
                <w:color w:val="FFFFFF"/>
                <w:sz w:val="17"/>
              </w:rPr>
              <w:t xml:space="preserve"> (2025)</w:t>
            </w:r>
          </w:p>
        </w:tc>
        <w:tc>
          <w:tcPr>
            <w:tcW w:w="2693" w:type="dxa"/>
            <w:gridSpan w:val="2"/>
            <w:shd w:val="clear" w:color="auto" w:fill="00407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7338A69" w14:textId="77777777" w:rsidR="00974EF8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7"/>
              </w:rPr>
              <w:t>Porcentaje (%)</w:t>
            </w:r>
          </w:p>
        </w:tc>
      </w:tr>
      <w:tr w:rsidR="00974EF8" w14:paraId="714F9E78" w14:textId="77777777">
        <w:trPr>
          <w:jc w:val="center"/>
        </w:trPr>
        <w:tc>
          <w:tcPr>
            <w:tcW w:w="6912" w:type="dxa"/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DA7493D" w14:textId="77777777" w:rsidR="00974EF8" w:rsidRDefault="00000000">
            <w:pPr>
              <w:spacing w:after="0"/>
            </w:pPr>
            <w:r>
              <w:rPr>
                <w:sz w:val="17"/>
              </w:rPr>
              <w:t>Resueltas / Solucionadas</w:t>
            </w:r>
          </w:p>
        </w:tc>
        <w:tc>
          <w:tcPr>
            <w:tcW w:w="2693" w:type="dxa"/>
            <w:gridSpan w:val="2"/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5B163D4" w14:textId="77777777" w:rsidR="00974EF8" w:rsidRDefault="00000000">
            <w:pPr>
              <w:spacing w:after="0"/>
              <w:jc w:val="center"/>
            </w:pPr>
            <w:r>
              <w:rPr>
                <w:b/>
                <w:color w:val="00407A"/>
                <w:sz w:val="17"/>
              </w:rPr>
              <w:t>75,49 %</w:t>
            </w:r>
          </w:p>
        </w:tc>
      </w:tr>
      <w:tr w:rsidR="00974EF8" w14:paraId="7C9A2810" w14:textId="77777777">
        <w:trPr>
          <w:jc w:val="center"/>
        </w:trPr>
        <w:tc>
          <w:tcPr>
            <w:tcW w:w="6912" w:type="dxa"/>
            <w:shd w:val="clear" w:color="auto" w:fill="F8FAFC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67F555C" w14:textId="77777777" w:rsidR="00974EF8" w:rsidRDefault="00000000">
            <w:pPr>
              <w:spacing w:after="0"/>
            </w:pPr>
            <w:r>
              <w:rPr>
                <w:sz w:val="17"/>
              </w:rPr>
              <w:t>Pendientes de solución</w:t>
            </w:r>
          </w:p>
        </w:tc>
        <w:tc>
          <w:tcPr>
            <w:tcW w:w="2693" w:type="dxa"/>
            <w:gridSpan w:val="2"/>
            <w:shd w:val="clear" w:color="auto" w:fill="F8FAFC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DFA7653" w14:textId="77777777" w:rsidR="00974EF8" w:rsidRDefault="00000000">
            <w:pPr>
              <w:spacing w:after="0"/>
              <w:jc w:val="center"/>
            </w:pPr>
            <w:r>
              <w:rPr>
                <w:sz w:val="17"/>
              </w:rPr>
              <w:t>11,50 %</w:t>
            </w:r>
          </w:p>
        </w:tc>
      </w:tr>
      <w:tr w:rsidR="00974EF8" w14:paraId="1617A3A3" w14:textId="77777777">
        <w:trPr>
          <w:jc w:val="center"/>
        </w:trPr>
        <w:tc>
          <w:tcPr>
            <w:tcW w:w="6912" w:type="dxa"/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40FFECD1" w14:textId="77777777" w:rsidR="00974EF8" w:rsidRDefault="00000000">
            <w:pPr>
              <w:spacing w:after="0"/>
            </w:pPr>
            <w:r>
              <w:rPr>
                <w:sz w:val="17"/>
              </w:rPr>
              <w:t>En proceso de ejecución</w:t>
            </w:r>
          </w:p>
        </w:tc>
        <w:tc>
          <w:tcPr>
            <w:tcW w:w="2693" w:type="dxa"/>
            <w:gridSpan w:val="2"/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52CE345" w14:textId="77777777" w:rsidR="00974EF8" w:rsidRDefault="00000000">
            <w:pPr>
              <w:spacing w:after="0"/>
              <w:jc w:val="center"/>
            </w:pPr>
            <w:r>
              <w:rPr>
                <w:sz w:val="17"/>
              </w:rPr>
              <w:t>10,15 %</w:t>
            </w:r>
          </w:p>
        </w:tc>
      </w:tr>
      <w:tr w:rsidR="00974EF8" w14:paraId="480AE793" w14:textId="77777777">
        <w:trPr>
          <w:jc w:val="center"/>
        </w:trPr>
        <w:tc>
          <w:tcPr>
            <w:tcW w:w="6912" w:type="dxa"/>
            <w:shd w:val="clear" w:color="auto" w:fill="F8FAFC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3ED6854" w14:textId="77777777" w:rsidR="00974EF8" w:rsidRDefault="00000000">
            <w:pPr>
              <w:spacing w:after="0"/>
            </w:pPr>
            <w:r>
              <w:rPr>
                <w:sz w:val="17"/>
              </w:rPr>
              <w:t>No procedentes</w:t>
            </w:r>
          </w:p>
        </w:tc>
        <w:tc>
          <w:tcPr>
            <w:tcW w:w="2693" w:type="dxa"/>
            <w:gridSpan w:val="2"/>
            <w:shd w:val="clear" w:color="auto" w:fill="F8FAFC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5C81643" w14:textId="77777777" w:rsidR="00974EF8" w:rsidRDefault="00000000">
            <w:pPr>
              <w:spacing w:after="0"/>
              <w:jc w:val="center"/>
            </w:pPr>
            <w:r>
              <w:rPr>
                <w:sz w:val="17"/>
              </w:rPr>
              <w:t>2,85 %</w:t>
            </w:r>
          </w:p>
        </w:tc>
      </w:tr>
      <w:tr w:rsidR="00974EF8" w:rsidRPr="008F2590" w14:paraId="546489DC" w14:textId="77777777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gridAfter w:val="1"/>
          <w:wAfter w:w="39" w:type="dxa"/>
          <w:jc w:val="center"/>
        </w:trPr>
        <w:tc>
          <w:tcPr>
            <w:tcW w:w="9605" w:type="dxa"/>
            <w:gridSpan w:val="2"/>
            <w:tcBorders>
              <w:top w:val="single" w:sz="4" w:space="0" w:color="CBD5E1"/>
              <w:left w:val="single" w:sz="24" w:space="0" w:color="00407A"/>
              <w:bottom w:val="single" w:sz="4" w:space="0" w:color="CBD5E1"/>
              <w:right w:val="single" w:sz="4" w:space="0" w:color="CBD5E1"/>
            </w:tcBorders>
            <w:shd w:val="clear" w:color="auto" w:fill="F8FAFC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562C712" w14:textId="77777777" w:rsidR="00974EF8" w:rsidRPr="008F2590" w:rsidRDefault="00000000">
            <w:pPr>
              <w:spacing w:after="80"/>
              <w:rPr>
                <w:lang w:val="es-ES"/>
              </w:rPr>
            </w:pPr>
            <w:r w:rsidRPr="008F2590">
              <w:rPr>
                <w:b/>
                <w:color w:val="00407A"/>
                <w:sz w:val="17"/>
                <w:lang w:val="es-ES"/>
              </w:rPr>
              <w:lastRenderedPageBreak/>
              <w:t>Criterios de Clasificación para Incidencias "No Procedentes":</w:t>
            </w:r>
          </w:p>
          <w:p w14:paraId="197BE11F" w14:textId="77777777" w:rsidR="00974EF8" w:rsidRPr="008F2590" w:rsidRDefault="00000000">
            <w:pPr>
              <w:spacing w:after="40"/>
              <w:rPr>
                <w:lang w:val="es-ES"/>
              </w:rPr>
            </w:pPr>
            <w:r w:rsidRPr="008F2590">
              <w:rPr>
                <w:b/>
                <w:sz w:val="17"/>
                <w:lang w:val="es-ES"/>
              </w:rPr>
              <w:t xml:space="preserve">1. Fuera de ámbito territorial: </w:t>
            </w:r>
            <w:r w:rsidRPr="008F2590">
              <w:rPr>
                <w:sz w:val="17"/>
                <w:lang w:val="es-ES"/>
              </w:rPr>
              <w:t>La incidencia se ubica en otro municipio.</w:t>
            </w:r>
          </w:p>
          <w:p w14:paraId="40782519" w14:textId="77777777" w:rsidR="00974EF8" w:rsidRPr="008F2590" w:rsidRDefault="00000000">
            <w:pPr>
              <w:spacing w:after="40"/>
              <w:rPr>
                <w:lang w:val="es-ES"/>
              </w:rPr>
            </w:pPr>
            <w:r w:rsidRPr="008F2590">
              <w:rPr>
                <w:b/>
                <w:sz w:val="17"/>
                <w:lang w:val="es-ES"/>
              </w:rPr>
              <w:t xml:space="preserve">2. Competencia supramunicipal o externa: </w:t>
            </w:r>
            <w:r w:rsidRPr="008F2590">
              <w:rPr>
                <w:sz w:val="17"/>
                <w:lang w:val="es-ES"/>
              </w:rPr>
              <w:t>Corresponde a entidades externas (redes eléctricas de GESA, líneas telefónicas o carreteras dependientes del Consell Insular). En estos casos se notifica al organismo competente.</w:t>
            </w:r>
          </w:p>
          <w:p w14:paraId="5C340AD2" w14:textId="77777777" w:rsidR="00974EF8" w:rsidRPr="008F2590" w:rsidRDefault="00000000">
            <w:pPr>
              <w:spacing w:after="40"/>
              <w:rPr>
                <w:lang w:val="es-ES"/>
              </w:rPr>
            </w:pPr>
            <w:r w:rsidRPr="008F2590">
              <w:rPr>
                <w:b/>
                <w:sz w:val="17"/>
                <w:lang w:val="es-ES"/>
              </w:rPr>
              <w:t xml:space="preserve">3. Requisito de cauce específico: </w:t>
            </w:r>
            <w:r w:rsidRPr="008F2590">
              <w:rPr>
                <w:sz w:val="17"/>
                <w:lang w:val="es-ES"/>
              </w:rPr>
              <w:t>No gestionable por Línea Verde al requerir procedimiento administrativo reglado (ej. denuncias por ruidos o infracciones de tráfico).</w:t>
            </w:r>
          </w:p>
          <w:p w14:paraId="538FF2DA" w14:textId="77777777" w:rsidR="00974EF8" w:rsidRPr="008F2590" w:rsidRDefault="00000000">
            <w:pPr>
              <w:spacing w:after="40"/>
              <w:rPr>
                <w:lang w:val="es-ES"/>
              </w:rPr>
            </w:pPr>
            <w:r w:rsidRPr="008F2590">
              <w:rPr>
                <w:b/>
                <w:sz w:val="17"/>
                <w:lang w:val="es-ES"/>
              </w:rPr>
              <w:t xml:space="preserve">4. Ajenas al catálogo: </w:t>
            </w:r>
            <w:r w:rsidRPr="008F2590">
              <w:rPr>
                <w:sz w:val="17"/>
                <w:lang w:val="es-ES"/>
              </w:rPr>
              <w:t>No se adecúan a ninguna tipología establecida en la plataforma.</w:t>
            </w:r>
          </w:p>
        </w:tc>
      </w:tr>
    </w:tbl>
    <w:p w14:paraId="30098FA5" w14:textId="77777777" w:rsidR="00974EF8" w:rsidRPr="008F2590" w:rsidRDefault="00000000">
      <w:pPr>
        <w:keepNext/>
        <w:pBdr>
          <w:bottom w:val="single" w:sz="12" w:space="2" w:color="00407A"/>
        </w:pBdr>
        <w:spacing w:before="280" w:after="80"/>
        <w:rPr>
          <w:lang w:val="es-ES"/>
        </w:rPr>
      </w:pPr>
      <w:r w:rsidRPr="008F2590">
        <w:rPr>
          <w:b/>
          <w:color w:val="00407A"/>
          <w:sz w:val="22"/>
          <w:lang w:val="es-ES"/>
        </w:rPr>
        <w:t>5. DISTRIBUCIÓN DE INCIDENCIAS POR TIPOLOGÍA</w:t>
      </w:r>
    </w:p>
    <w:p w14:paraId="50E1A855" w14:textId="7C03AE4D" w:rsidR="008F2590" w:rsidRDefault="008F2590">
      <w:pPr>
        <w:spacing w:after="80"/>
        <w:rPr>
          <w:lang w:val="es-ES"/>
        </w:rPr>
      </w:pPr>
      <w:r>
        <w:rPr>
          <w:noProof/>
        </w:rPr>
        <w:drawing>
          <wp:inline distT="0" distB="0" distL="0" distR="0" wp14:anchorId="3442AF9E" wp14:editId="3AF568DD">
            <wp:extent cx="6099175" cy="4190889"/>
            <wp:effectExtent l="0" t="0" r="15875" b="635"/>
            <wp:docPr id="1631093440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5332885C-AD67-708B-C721-089B73D3D5C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2E592B1C" w14:textId="77777777" w:rsidR="00974EF8" w:rsidRPr="008F2590" w:rsidRDefault="00000000">
      <w:pPr>
        <w:keepNext/>
        <w:pBdr>
          <w:bottom w:val="single" w:sz="12" w:space="2" w:color="00407A"/>
        </w:pBdr>
        <w:spacing w:before="280" w:after="80"/>
        <w:rPr>
          <w:lang w:val="es-ES"/>
        </w:rPr>
      </w:pPr>
      <w:r w:rsidRPr="008F2590">
        <w:rPr>
          <w:b/>
          <w:color w:val="00407A"/>
          <w:sz w:val="22"/>
          <w:lang w:val="es-ES"/>
        </w:rPr>
        <w:t>6. INTERACCIÓN CIUDADANA Y COBERTURA DE USUARIOS</w:t>
      </w:r>
    </w:p>
    <w:p w14:paraId="2DD7A1CC" w14:textId="77777777" w:rsidR="00974EF8" w:rsidRPr="008F2590" w:rsidRDefault="00000000">
      <w:pPr>
        <w:spacing w:after="80"/>
        <w:rPr>
          <w:lang w:val="es-ES"/>
        </w:rPr>
      </w:pPr>
      <w:r w:rsidRPr="008F2590">
        <w:rPr>
          <w:lang w:val="es-ES"/>
        </w:rPr>
        <w:t>Durante el ejercicio 2025 se ha registrado la siguiente participación ciudadana:</w:t>
      </w:r>
    </w:p>
    <w:p w14:paraId="4466D3AB" w14:textId="77777777" w:rsidR="00974EF8" w:rsidRPr="008F2590" w:rsidRDefault="00000000">
      <w:pPr>
        <w:pStyle w:val="Llistaambpics"/>
        <w:spacing w:after="40"/>
        <w:rPr>
          <w:lang w:val="es-ES"/>
        </w:rPr>
      </w:pPr>
      <w:r w:rsidRPr="008F2590">
        <w:rPr>
          <w:b/>
          <w:sz w:val="19"/>
          <w:lang w:val="es-ES"/>
        </w:rPr>
        <w:t xml:space="preserve">Descargas de la aplicación móvil: </w:t>
      </w:r>
      <w:r w:rsidRPr="008F2590">
        <w:rPr>
          <w:sz w:val="19"/>
          <w:lang w:val="es-ES"/>
        </w:rPr>
        <w:t>7.862 personas.</w:t>
      </w:r>
    </w:p>
    <w:p w14:paraId="37D328AE" w14:textId="77777777" w:rsidR="00974EF8" w:rsidRPr="008F2590" w:rsidRDefault="00000000">
      <w:pPr>
        <w:pStyle w:val="Llistaambpics"/>
        <w:spacing w:after="40"/>
        <w:rPr>
          <w:lang w:val="es-ES"/>
        </w:rPr>
      </w:pPr>
      <w:r w:rsidRPr="008F2590">
        <w:rPr>
          <w:b/>
          <w:sz w:val="19"/>
          <w:lang w:val="es-ES"/>
        </w:rPr>
        <w:t xml:space="preserve">Registros en el portal web: </w:t>
      </w:r>
      <w:r w:rsidRPr="008F2590">
        <w:rPr>
          <w:sz w:val="19"/>
          <w:lang w:val="es-ES"/>
        </w:rPr>
        <w:t>1.564 usuarios.</w:t>
      </w:r>
    </w:p>
    <w:p w14:paraId="4DCDA6C3" w14:textId="4C15C8C6" w:rsidR="00974EF8" w:rsidRPr="008F2590" w:rsidRDefault="00000000" w:rsidP="008F2590">
      <w:pPr>
        <w:pStyle w:val="Llistaambpics"/>
        <w:spacing w:after="40"/>
        <w:rPr>
          <w:lang w:val="es-ES"/>
        </w:rPr>
      </w:pPr>
      <w:proofErr w:type="gramStart"/>
      <w:r w:rsidRPr="008F2590">
        <w:rPr>
          <w:b/>
          <w:sz w:val="19"/>
          <w:lang w:val="es-ES"/>
        </w:rPr>
        <w:t>Total</w:t>
      </w:r>
      <w:proofErr w:type="gramEnd"/>
      <w:r w:rsidRPr="008F2590">
        <w:rPr>
          <w:b/>
          <w:sz w:val="19"/>
          <w:lang w:val="es-ES"/>
        </w:rPr>
        <w:t xml:space="preserve"> de usuarios interactivos (App + Web): </w:t>
      </w:r>
      <w:r w:rsidRPr="008F2590">
        <w:rPr>
          <w:bCs/>
          <w:sz w:val="19"/>
          <w:lang w:val="es-ES"/>
        </w:rPr>
        <w:t>9.426 ciudadanos (personas que interactuaron notificando incidencias o consultando comunicaciones).</w:t>
      </w:r>
    </w:p>
    <w:sectPr w:rsidR="00974EF8" w:rsidRPr="008F2590" w:rsidSect="008F2590">
      <w:headerReference w:type="default" r:id="rId9"/>
      <w:pgSz w:w="11909" w:h="16834"/>
      <w:pgMar w:top="1860" w:right="1152" w:bottom="108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B8E26" w14:textId="77777777" w:rsidR="00B90222" w:rsidRDefault="00B90222" w:rsidP="008F2590">
      <w:pPr>
        <w:spacing w:after="0" w:line="240" w:lineRule="auto"/>
      </w:pPr>
      <w:r>
        <w:separator/>
      </w:r>
    </w:p>
  </w:endnote>
  <w:endnote w:type="continuationSeparator" w:id="0">
    <w:p w14:paraId="09FF93FF" w14:textId="77777777" w:rsidR="00B90222" w:rsidRDefault="00B90222" w:rsidP="008F25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A47B6" w14:textId="77777777" w:rsidR="00B90222" w:rsidRDefault="00B90222" w:rsidP="008F2590">
      <w:pPr>
        <w:spacing w:after="0" w:line="240" w:lineRule="auto"/>
      </w:pPr>
      <w:r>
        <w:separator/>
      </w:r>
    </w:p>
  </w:footnote>
  <w:footnote w:type="continuationSeparator" w:id="0">
    <w:p w14:paraId="1F829A92" w14:textId="77777777" w:rsidR="00B90222" w:rsidRDefault="00B90222" w:rsidP="008F25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63162" w14:textId="5E2C4DC5" w:rsidR="008F2590" w:rsidRDefault="008F2590">
    <w:pPr>
      <w:pStyle w:val="Capalera"/>
    </w:pPr>
    <w:r>
      <w:rPr>
        <w:noProof/>
      </w:rPr>
      <w:drawing>
        <wp:inline distT="0" distB="0" distL="0" distR="0" wp14:anchorId="58BD641A" wp14:editId="54B20C38">
          <wp:extent cx="940850" cy="527050"/>
          <wp:effectExtent l="0" t="0" r="0" b="6350"/>
          <wp:docPr id="22204773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8264" cy="5312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lista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lista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listaambpic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listaambpic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lista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listaambpic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25867397">
    <w:abstractNumId w:val="8"/>
  </w:num>
  <w:num w:numId="2" w16cid:durableId="1235550888">
    <w:abstractNumId w:val="6"/>
  </w:num>
  <w:num w:numId="3" w16cid:durableId="1922836295">
    <w:abstractNumId w:val="5"/>
  </w:num>
  <w:num w:numId="4" w16cid:durableId="998847865">
    <w:abstractNumId w:val="4"/>
  </w:num>
  <w:num w:numId="5" w16cid:durableId="1047754192">
    <w:abstractNumId w:val="7"/>
  </w:num>
  <w:num w:numId="6" w16cid:durableId="514613928">
    <w:abstractNumId w:val="3"/>
  </w:num>
  <w:num w:numId="7" w16cid:durableId="1425301122">
    <w:abstractNumId w:val="2"/>
  </w:num>
  <w:num w:numId="8" w16cid:durableId="1272981035">
    <w:abstractNumId w:val="1"/>
  </w:num>
  <w:num w:numId="9" w16cid:durableId="1939289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06228"/>
    <w:rsid w:val="00326F90"/>
    <w:rsid w:val="00355A25"/>
    <w:rsid w:val="005C5C59"/>
    <w:rsid w:val="008F2590"/>
    <w:rsid w:val="00974EF8"/>
    <w:rsid w:val="00AA1D8D"/>
    <w:rsid w:val="00B47730"/>
    <w:rsid w:val="00B90222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7607040"/>
  <w14:defaultImageDpi w14:val="300"/>
  <w15:docId w15:val="{BB677F5C-391C-4A55-8E7A-3BCFD0643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  <w:color w:val="222222"/>
      <w:sz w:val="20"/>
    </w:rPr>
  </w:style>
  <w:style w:type="paragraph" w:styleId="Ttol1">
    <w:name w:val="heading 1"/>
    <w:basedOn w:val="Normal"/>
    <w:next w:val="Normal"/>
    <w:link w:val="Ttol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ol3">
    <w:name w:val="heading 3"/>
    <w:basedOn w:val="Normal"/>
    <w:next w:val="Normal"/>
    <w:link w:val="Ttol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E618BF"/>
  </w:style>
  <w:style w:type="paragraph" w:styleId="Peu">
    <w:name w:val="footer"/>
    <w:basedOn w:val="Normal"/>
    <w:link w:val="Peu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E618BF"/>
  </w:style>
  <w:style w:type="paragraph" w:styleId="Senseespaiat">
    <w:name w:val="No Spacing"/>
    <w:uiPriority w:val="1"/>
    <w:qFormat/>
    <w:rsid w:val="00FC693F"/>
    <w:pPr>
      <w:spacing w:after="0" w:line="240" w:lineRule="auto"/>
    </w:pPr>
  </w:style>
  <w:style w:type="character" w:customStyle="1" w:styleId="Ttol1Car">
    <w:name w:val="Títol 1 Car"/>
    <w:basedOn w:val="Lletraperdefectedelpargraf"/>
    <w:link w:val="Ttol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ol2Car">
    <w:name w:val="Títol 2 Car"/>
    <w:basedOn w:val="Lletraperdefectedelpargraf"/>
    <w:link w:val="Ttol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ol3Car">
    <w:name w:val="Títol 3 Car"/>
    <w:basedOn w:val="Lletraperdefectedelpargraf"/>
    <w:link w:val="Ttol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ol">
    <w:name w:val="Title"/>
    <w:basedOn w:val="Normal"/>
    <w:next w:val="Normal"/>
    <w:link w:val="Ttol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olCar">
    <w:name w:val="Títol Car"/>
    <w:basedOn w:val="Lletraperdefectedelpargraf"/>
    <w:link w:val="Tto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ol">
    <w:name w:val="Subtitle"/>
    <w:basedOn w:val="Normal"/>
    <w:next w:val="Normal"/>
    <w:link w:val="Subttol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olCar">
    <w:name w:val="Subtítol Car"/>
    <w:basedOn w:val="Lletraperdefectedelpargraf"/>
    <w:link w:val="Subtto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del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independent">
    <w:name w:val="Body Text"/>
    <w:basedOn w:val="Normal"/>
    <w:link w:val="TextindependentCar"/>
    <w:uiPriority w:val="99"/>
    <w:unhideWhenUsed/>
    <w:rsid w:val="00AA1D8D"/>
    <w:pPr>
      <w:spacing w:after="120"/>
    </w:pPr>
  </w:style>
  <w:style w:type="character" w:customStyle="1" w:styleId="TextindependentCar">
    <w:name w:val="Text independent Car"/>
    <w:basedOn w:val="Lletraperdefectedelpargraf"/>
    <w:link w:val="Textindependent"/>
    <w:uiPriority w:val="99"/>
    <w:rsid w:val="00AA1D8D"/>
  </w:style>
  <w:style w:type="paragraph" w:styleId="Textindependent2">
    <w:name w:val="Body Text 2"/>
    <w:basedOn w:val="Normal"/>
    <w:link w:val="Textindependent2Car"/>
    <w:uiPriority w:val="99"/>
    <w:unhideWhenUsed/>
    <w:rsid w:val="00AA1D8D"/>
    <w:pPr>
      <w:spacing w:after="120" w:line="480" w:lineRule="auto"/>
    </w:pPr>
  </w:style>
  <w:style w:type="character" w:customStyle="1" w:styleId="Textindependent2Car">
    <w:name w:val="Text independent 2 Car"/>
    <w:basedOn w:val="Lletraperdefectedelpargraf"/>
    <w:link w:val="Textindependent2"/>
    <w:uiPriority w:val="99"/>
    <w:rsid w:val="00AA1D8D"/>
  </w:style>
  <w:style w:type="paragraph" w:styleId="Textindependent3">
    <w:name w:val="Body Text 3"/>
    <w:basedOn w:val="Normal"/>
    <w:link w:val="Textindependent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independent3Car">
    <w:name w:val="Text independent 3 Car"/>
    <w:basedOn w:val="Lletraperdefectedelpargraf"/>
    <w:link w:val="Textindependent3"/>
    <w:uiPriority w:val="99"/>
    <w:rsid w:val="00AA1D8D"/>
    <w:rPr>
      <w:sz w:val="16"/>
      <w:szCs w:val="16"/>
    </w:rPr>
  </w:style>
  <w:style w:type="paragraph" w:styleId="L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listaambpic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listaambpic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listaambpic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lista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lista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lista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cidel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cidel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cidel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demacro">
    <w:name w:val="macro"/>
    <w:link w:val="Text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demacroCar">
    <w:name w:val="Text de macro Car"/>
    <w:basedOn w:val="Lletraperdefectedelpargraf"/>
    <w:link w:val="Textde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Lletraperdefectedelpargraf"/>
    <w:link w:val="Cita"/>
    <w:uiPriority w:val="29"/>
    <w:rsid w:val="00FC693F"/>
    <w:rPr>
      <w:i/>
      <w:iCs/>
      <w:color w:val="000000" w:themeColor="text1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ennegreta">
    <w:name w:val="Strong"/>
    <w:basedOn w:val="Lletraperdefectedelpargraf"/>
    <w:uiPriority w:val="22"/>
    <w:qFormat/>
    <w:rsid w:val="00FC693F"/>
    <w:rPr>
      <w:b/>
      <w:bCs/>
    </w:rPr>
  </w:style>
  <w:style w:type="character" w:styleId="mfasi">
    <w:name w:val="Emphasis"/>
    <w:basedOn w:val="Lletraperdefectedelpargraf"/>
    <w:uiPriority w:val="20"/>
    <w:qFormat/>
    <w:rsid w:val="00FC693F"/>
    <w:rPr>
      <w:i/>
      <w:iCs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FC693F"/>
    <w:rPr>
      <w:b/>
      <w:bCs/>
      <w:i/>
      <w:iCs/>
      <w:color w:val="4F81BD" w:themeColor="accent1"/>
    </w:rPr>
  </w:style>
  <w:style w:type="character" w:styleId="mfasisubtil">
    <w:name w:val="Subtle Emphasis"/>
    <w:basedOn w:val="Lletraperdefectedelpargraf"/>
    <w:uiPriority w:val="19"/>
    <w:qFormat/>
    <w:rsid w:val="00FC693F"/>
    <w:rPr>
      <w:i/>
      <w:iCs/>
      <w:color w:val="808080" w:themeColor="text1" w:themeTint="7F"/>
    </w:rPr>
  </w:style>
  <w:style w:type="character" w:styleId="mfasiintens">
    <w:name w:val="Intense Emphasis"/>
    <w:basedOn w:val="Lletraperdefectedelpargraf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btil">
    <w:name w:val="Subtle Reference"/>
    <w:basedOn w:val="Lletraperdefectedelpargraf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Lletraperdefectedelpargraf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oldelllibre">
    <w:name w:val="Book Title"/>
    <w:basedOn w:val="Lletraperdefectedelpargraf"/>
    <w:uiPriority w:val="33"/>
    <w:qFormat/>
    <w:rsid w:val="00FC693F"/>
    <w:rPr>
      <w:b/>
      <w:bCs/>
      <w:smallCaps/>
      <w:spacing w:val="5"/>
    </w:rPr>
  </w:style>
  <w:style w:type="paragraph" w:styleId="TtoldelIDC">
    <w:name w:val="TOC Heading"/>
    <w:basedOn w:val="Ttol1"/>
    <w:next w:val="Normal"/>
    <w:uiPriority w:val="39"/>
    <w:semiHidden/>
    <w:unhideWhenUsed/>
    <w:qFormat/>
    <w:rsid w:val="00FC693F"/>
    <w:pPr>
      <w:outlineLvl w:val="9"/>
    </w:pPr>
  </w:style>
  <w:style w:type="table" w:styleId="Taulaambquadrcula">
    <w:name w:val="Table Grid"/>
    <w:basedOn w:val="Tau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ejatsuau">
    <w:name w:val="Light Shading"/>
    <w:basedOn w:val="Tau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Ombrejatsuaumfasi1">
    <w:name w:val="Light Shading Accent 1"/>
    <w:basedOn w:val="Tau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Ombrejatsuaumfasi2">
    <w:name w:val="Light Shading Accent 2"/>
    <w:basedOn w:val="Tau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Ombrejatsuaumfasi3">
    <w:name w:val="Light Shading Accent 3"/>
    <w:basedOn w:val="Tau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Ombrejatsuaumfasi4">
    <w:name w:val="Light Shading Accent 4"/>
    <w:basedOn w:val="Tau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Ombrejatsuaumfasi5">
    <w:name w:val="Light Shading Accent 5"/>
    <w:basedOn w:val="Tau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Ombrejatsuaumfasi6">
    <w:name w:val="Light Shading Accent 6"/>
    <w:basedOn w:val="Tau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listaclara">
    <w:name w:val="Light List"/>
    <w:basedOn w:val="Tau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listaclaramfasi1">
    <w:name w:val="Light List Accent 1"/>
    <w:basedOn w:val="Tau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listaclaramfasi2">
    <w:name w:val="Light List Accent 2"/>
    <w:basedOn w:val="Tau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listaclaramfasi3">
    <w:name w:val="Light List Accent 3"/>
    <w:basedOn w:val="Tau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listaclaramfasi4">
    <w:name w:val="Light List Accent 4"/>
    <w:basedOn w:val="Tau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listaclaramfasi5">
    <w:name w:val="Light List Accent 5"/>
    <w:basedOn w:val="Tau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listaclaramfasi6">
    <w:name w:val="Light List Accent 6"/>
    <w:basedOn w:val="Tau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Quadrculaclara">
    <w:name w:val="Light Grid"/>
    <w:basedOn w:val="Tau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Quadrculaclaramfasi1">
    <w:name w:val="Light Grid Accent 1"/>
    <w:basedOn w:val="Tau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Quadrculaclaramfasi2">
    <w:name w:val="Light Grid Accent 2"/>
    <w:basedOn w:val="Tau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Quadrculaclaramfasi3">
    <w:name w:val="Light Grid Accent 3"/>
    <w:basedOn w:val="Tau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Quadrculaclaramfasi4">
    <w:name w:val="Light Grid Accent 4"/>
    <w:basedOn w:val="Tau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Quadrculaclaramfasi5">
    <w:name w:val="Light Grid Accent 5"/>
    <w:basedOn w:val="Tau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Quadrculaclaramfasi6">
    <w:name w:val="Light Grid Accent 6"/>
    <w:basedOn w:val="Tau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mbrejatmitj1">
    <w:name w:val="Medium Shading 1"/>
    <w:basedOn w:val="Tau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mbrejatmitj1mfasi1">
    <w:name w:val="Medium Shading 1 Accent 1"/>
    <w:basedOn w:val="Tau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mbrejatmitj1mfasi2">
    <w:name w:val="Medium Shading 1 Accent 2"/>
    <w:basedOn w:val="Tau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mbrejatmitj1mfasi3">
    <w:name w:val="Medium Shading 1 Accent 3"/>
    <w:basedOn w:val="Tau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mbrejatmitj1mfasi4">
    <w:name w:val="Medium Shading 1 Accent 4"/>
    <w:basedOn w:val="Tau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mbrejatmitj1mfasi5">
    <w:name w:val="Medium Shading 1 Accent 5"/>
    <w:basedOn w:val="Tau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mbrejatmitj1mfasi6">
    <w:name w:val="Medium Shading 1 Accent 6"/>
    <w:basedOn w:val="Tau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mbrejatmitj2">
    <w:name w:val="Medium Shading 2"/>
    <w:basedOn w:val="Tau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mbrejatmitj2mfasi1">
    <w:name w:val="Medium Shading 2 Accent 1"/>
    <w:basedOn w:val="Tau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mbrejatmitj2mfasi2">
    <w:name w:val="Medium Shading 2 Accent 2"/>
    <w:basedOn w:val="Tau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mbrejatmitj2mfasi3">
    <w:name w:val="Medium Shading 2 Accent 3"/>
    <w:basedOn w:val="Tau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mbrejatmitj2mfasi4">
    <w:name w:val="Medium Shading 2 Accent 4"/>
    <w:basedOn w:val="Tau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mbrejatmitj2mfasi5">
    <w:name w:val="Medium Shading 2 Accent 5"/>
    <w:basedOn w:val="Tau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mbrejatmitj2mfasi6">
    <w:name w:val="Medium Shading 2 Accent 6"/>
    <w:basedOn w:val="Tau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listamitjana1">
    <w:name w:val="Medium List 1"/>
    <w:basedOn w:val="Tau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listamitjana1mfasi1">
    <w:name w:val="Medium List 1 Accent 1"/>
    <w:basedOn w:val="Tau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listamitjana1mfasi2">
    <w:name w:val="Medium List 1 Accent 2"/>
    <w:basedOn w:val="Tau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listamitjana1mfasi3">
    <w:name w:val="Medium List 1 Accent 3"/>
    <w:basedOn w:val="Tau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listamitjana1mfasi4">
    <w:name w:val="Medium List 1 Accent 4"/>
    <w:basedOn w:val="Tau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listamitjana1mfasi5">
    <w:name w:val="Medium List 1 Accent 5"/>
    <w:basedOn w:val="Tau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listamitjana1mfasi6">
    <w:name w:val="Medium List 1 Accent 6"/>
    <w:basedOn w:val="Tau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listamitjana2">
    <w:name w:val="Medium List 2"/>
    <w:basedOn w:val="Tau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listamitjana2mfasi1">
    <w:name w:val="Medium List 2 Accent 1"/>
    <w:basedOn w:val="Tau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listamitjana2mfasi2">
    <w:name w:val="Medium List 2 Accent 2"/>
    <w:basedOn w:val="Tau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listamitjana2mfasi3">
    <w:name w:val="Medium List 2 Accent 3"/>
    <w:basedOn w:val="Tau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listamitjana2mfasi4">
    <w:name w:val="Medium List 2 Accent 4"/>
    <w:basedOn w:val="Tau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listamitjana2mfasi5">
    <w:name w:val="Medium List 2 Accent 5"/>
    <w:basedOn w:val="Tau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listamitjana2mfasi6">
    <w:name w:val="Medium List 2 Accent 6"/>
    <w:basedOn w:val="Tau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Quadrculamitjana1">
    <w:name w:val="Medium Grid 1"/>
    <w:basedOn w:val="Tau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Quadrculamitjana1mfasi1">
    <w:name w:val="Medium Grid 1 Accent 1"/>
    <w:basedOn w:val="Tau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Quadrculamitjana1mfasi2">
    <w:name w:val="Medium Grid 1 Accent 2"/>
    <w:basedOn w:val="Tau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Quadrculamitjana1mfasi3">
    <w:name w:val="Medium Grid 1 Accent 3"/>
    <w:basedOn w:val="Tau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Quadrculamitjana1mfasi4">
    <w:name w:val="Medium Grid 1 Accent 4"/>
    <w:basedOn w:val="Tau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Quadrculamitjana1mfasi5">
    <w:name w:val="Medium Grid 1 Accent 5"/>
    <w:basedOn w:val="Tau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Quadrculamitjana1mfasi6">
    <w:name w:val="Medium Grid 1 Accent 6"/>
    <w:basedOn w:val="Tau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Quadrculamitjana2">
    <w:name w:val="Medium Grid 2"/>
    <w:basedOn w:val="Tau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Quadrculamitjana2mfasi1">
    <w:name w:val="Medium Grid 2 Accent 1"/>
    <w:basedOn w:val="Tau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Quadrculamitjana2mfasi2">
    <w:name w:val="Medium Grid 2 Accent 2"/>
    <w:basedOn w:val="Tau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Quadrculamitjana2mfasi3">
    <w:name w:val="Medium Grid 2 Accent 3"/>
    <w:basedOn w:val="Tau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Quadrculamitjana2mfasi4">
    <w:name w:val="Medium Grid 2 Accent 4"/>
    <w:basedOn w:val="Tau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Quadrculamitjana2mfasi5">
    <w:name w:val="Medium Grid 2 Accent 5"/>
    <w:basedOn w:val="Tau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Quadrculamitjana2mfasi6">
    <w:name w:val="Medium Grid 2 Accent 6"/>
    <w:basedOn w:val="Tau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Quadrculamitjana3">
    <w:name w:val="Medium Grid 3"/>
    <w:basedOn w:val="Tau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Quadrculamitjana3mfasi1">
    <w:name w:val="Medium Grid 3 Accent 1"/>
    <w:basedOn w:val="Tau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Quadrculamitjana3mfasi2">
    <w:name w:val="Medium Grid 3 Accent 2"/>
    <w:basedOn w:val="Tau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Quadrculamitjana3mfasi3">
    <w:name w:val="Medium Grid 3 Accent 3"/>
    <w:basedOn w:val="Tau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Quadrculamitjana3mfasi4">
    <w:name w:val="Medium Grid 3 Accent 4"/>
    <w:basedOn w:val="Tau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Quadrculamitjana3mfasi5">
    <w:name w:val="Medium Grid 3 Accent 5"/>
    <w:basedOn w:val="Tau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Quadrculamitjana3mfasi6">
    <w:name w:val="Medium Grid 3 Accent 6"/>
    <w:basedOn w:val="Tau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listafosca">
    <w:name w:val="Dark List"/>
    <w:basedOn w:val="Tau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listafoscamfasi1">
    <w:name w:val="Dark List Accent 1"/>
    <w:basedOn w:val="Tau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listafoscamfasi2">
    <w:name w:val="Dark List Accent 2"/>
    <w:basedOn w:val="Tau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listafoscamfasi3">
    <w:name w:val="Dark List Accent 3"/>
    <w:basedOn w:val="Tau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listafoscamfasi4">
    <w:name w:val="Dark List Accent 4"/>
    <w:basedOn w:val="Tau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listafoscamfasi5">
    <w:name w:val="Dark List Accent 5"/>
    <w:basedOn w:val="Tau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listafoscamfasi6">
    <w:name w:val="Dark List Accent 6"/>
    <w:basedOn w:val="Tau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mbrejatmulticolor">
    <w:name w:val="Colorful Shading"/>
    <w:basedOn w:val="Tau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mbrejatmulticolormfasi1">
    <w:name w:val="Colorful Shading Accent 1"/>
    <w:basedOn w:val="Tau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mbrejatmulticolormfasi2">
    <w:name w:val="Colorful Shading Accent 2"/>
    <w:basedOn w:val="Tau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mbrejatmulticolormfasi3">
    <w:name w:val="Colorful Shading Accent 3"/>
    <w:basedOn w:val="Tau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mbrejatmulticolormfasi4">
    <w:name w:val="Colorful Shading Accent 4"/>
    <w:basedOn w:val="Tau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mbrejatmulticolormfasi5">
    <w:name w:val="Colorful Shading Accent 5"/>
    <w:basedOn w:val="Tau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mbrejatmulticolormfasi6">
    <w:name w:val="Colorful Shading Accent 6"/>
    <w:basedOn w:val="Tau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listamulticolor">
    <w:name w:val="Colorful List"/>
    <w:basedOn w:val="Tau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listamulticolormfasi1">
    <w:name w:val="Colorful List Accent 1"/>
    <w:basedOn w:val="Tau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listamulticolormfasi2">
    <w:name w:val="Colorful List Accent 2"/>
    <w:basedOn w:val="Tau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listamulticolormfasi3">
    <w:name w:val="Colorful List Accent 3"/>
    <w:basedOn w:val="Tau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listamulticolormfasi4">
    <w:name w:val="Colorful List Accent 4"/>
    <w:basedOn w:val="Tau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listamulticolormfasi5">
    <w:name w:val="Colorful List Accent 5"/>
    <w:basedOn w:val="Tau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listamulticolormfasi6">
    <w:name w:val="Colorful List Accent 6"/>
    <w:basedOn w:val="Tau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Quadrculamulticolor">
    <w:name w:val="Colorful Grid"/>
    <w:basedOn w:val="Tau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Quadrculamulticolormfasi1">
    <w:name w:val="Colorful Grid Accent 1"/>
    <w:basedOn w:val="Tau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Quadrculamulticolormfasi2">
    <w:name w:val="Colorful Grid Accent 2"/>
    <w:basedOn w:val="Tau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Quadrculamulticolormfasi3">
    <w:name w:val="Colorful Grid Accent 3"/>
    <w:basedOn w:val="Tau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Quadrculamulticolormfasi4">
    <w:name w:val="Colorful Grid Accent 4"/>
    <w:basedOn w:val="Tau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Quadrculamulticolormfasi5">
    <w:name w:val="Colorful Grid Accent 5"/>
    <w:basedOn w:val="Tau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Quadrculamulticolormfasi6">
    <w:name w:val="Colorful Grid Accent 6"/>
    <w:basedOn w:val="Tau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uario\Desktop\Informes%20linea%20verde%202024\Evolucion%20Servico%20linea%20verde%202023%20NO%20PERDER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a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ES"/>
              <a:t>Incidencias</a:t>
            </a:r>
            <a:r>
              <a:rPr lang="es-ES" baseline="0"/>
              <a:t> por tipologia</a:t>
            </a:r>
            <a:endParaRPr lang="es-ES"/>
          </a:p>
        </c:rich>
      </c:tx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32559058276560193"/>
          <c:y val="9.1278458844133117E-2"/>
          <c:w val="0.64212702654045506"/>
          <c:h val="0.85922179167183788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4472C4"/>
            </a:solidFill>
            <a:ln w="25400">
              <a:noFill/>
            </a:ln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5980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B355-4307-86EB-99B2E2A4EAEC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1122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B355-4307-86EB-99B2E2A4EAEC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343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B355-4307-86EB-99B2E2A4EAEC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3685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B355-4307-86EB-99B2E2A4EAEC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2043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4-B355-4307-86EB-99B2E2A4EAEC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364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5-B355-4307-86EB-99B2E2A4EAEC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262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6-B355-4307-86EB-99B2E2A4EAEC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12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7-B355-4307-86EB-99B2E2A4EAEC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2286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8-B355-4307-86EB-99B2E2A4EAEC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561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9-B355-4307-86EB-99B2E2A4EAEC}"/>
                </c:ext>
              </c:extLst>
            </c:dLbl>
            <c:dLbl>
              <c:idx val="10"/>
              <c:tx>
                <c:rich>
                  <a:bodyPr/>
                  <a:lstStyle/>
                  <a:p>
                    <a:r>
                      <a:rPr lang="en-US"/>
                      <a:t>1013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A-B355-4307-86EB-99B2E2A4EAEC}"/>
                </c:ext>
              </c:extLst>
            </c:dLbl>
            <c:dLbl>
              <c:idx val="11"/>
              <c:tx>
                <c:rich>
                  <a:bodyPr/>
                  <a:lstStyle/>
                  <a:p>
                    <a:r>
                      <a:rPr lang="en-US"/>
                      <a:t>1081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B-B355-4307-86EB-99B2E2A4EAEC}"/>
                </c:ext>
              </c:extLst>
            </c:dLbl>
            <c:dLbl>
              <c:idx val="12"/>
              <c:tx>
                <c:rich>
                  <a:bodyPr/>
                  <a:lstStyle/>
                  <a:p>
                    <a:r>
                      <a:rPr lang="en-US"/>
                      <a:t>336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C-B355-4307-86EB-99B2E2A4EAEC}"/>
                </c:ext>
              </c:extLst>
            </c:dLbl>
            <c:dLbl>
              <c:idx val="13"/>
              <c:tx>
                <c:rich>
                  <a:bodyPr/>
                  <a:lstStyle/>
                  <a:p>
                    <a:r>
                      <a:rPr lang="en-US"/>
                      <a:t>1824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D-B355-4307-86EB-99B2E2A4EAEC}"/>
                </c:ext>
              </c:extLst>
            </c:dLbl>
            <c:dLbl>
              <c:idx val="14"/>
              <c:tx>
                <c:rich>
                  <a:bodyPr/>
                  <a:lstStyle/>
                  <a:p>
                    <a:r>
                      <a:rPr lang="en-US"/>
                      <a:t>1015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E-B355-4307-86EB-99B2E2A4EAEC}"/>
                </c:ext>
              </c:extLst>
            </c:dLbl>
            <c:dLbl>
              <c:idx val="15"/>
              <c:tx>
                <c:rich>
                  <a:bodyPr/>
                  <a:lstStyle/>
                  <a:p>
                    <a:r>
                      <a:rPr lang="en-US"/>
                      <a:t>465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F-B355-4307-86EB-99B2E2A4EAEC}"/>
                </c:ext>
              </c:extLst>
            </c:dLbl>
            <c:dLbl>
              <c:idx val="16"/>
              <c:tx>
                <c:rich>
                  <a:bodyPr/>
                  <a:lstStyle/>
                  <a:p>
                    <a:r>
                      <a:rPr lang="en-US"/>
                      <a:t>1087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0-B355-4307-86EB-99B2E2A4EAEC}"/>
                </c:ext>
              </c:extLst>
            </c:dLbl>
            <c:dLbl>
              <c:idx val="17"/>
              <c:tx>
                <c:rich>
                  <a:bodyPr/>
                  <a:lstStyle/>
                  <a:p>
                    <a:r>
                      <a:rPr lang="en-US"/>
                      <a:t>642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1-B355-4307-86EB-99B2E2A4EAEC}"/>
                </c:ext>
              </c:extLst>
            </c:dLbl>
            <c:dLbl>
              <c:idx val="18"/>
              <c:tx>
                <c:rich>
                  <a:bodyPr/>
                  <a:lstStyle/>
                  <a:p>
                    <a:r>
                      <a:rPr lang="en-US"/>
                      <a:t>655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2-B355-4307-86EB-99B2E2A4EAEC}"/>
                </c:ext>
              </c:extLst>
            </c:dLbl>
            <c:dLbl>
              <c:idx val="19"/>
              <c:tx>
                <c:rich>
                  <a:bodyPr/>
                  <a:lstStyle/>
                  <a:p>
                    <a:r>
                      <a:rPr lang="en-US"/>
                      <a:t>709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3-B355-4307-86EB-99B2E2A4EAEC}"/>
                </c:ext>
              </c:extLst>
            </c:dLbl>
            <c:dLbl>
              <c:idx val="20"/>
              <c:tx>
                <c:rich>
                  <a:bodyPr/>
                  <a:lstStyle/>
                  <a:p>
                    <a:r>
                      <a:rPr lang="en-US"/>
                      <a:t>31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4-B355-4307-86EB-99B2E2A4EAEC}"/>
                </c:ext>
              </c:extLst>
            </c:dLbl>
            <c:dLbl>
              <c:idx val="21"/>
              <c:tx>
                <c:rich>
                  <a:bodyPr/>
                  <a:lstStyle/>
                  <a:p>
                    <a:r>
                      <a:rPr lang="en-US"/>
                      <a:t>8763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5-B355-4307-86EB-99B2E2A4EAEC}"/>
                </c:ext>
              </c:extLst>
            </c:dLbl>
            <c:dLbl>
              <c:idx val="22"/>
              <c:tx>
                <c:rich>
                  <a:bodyPr/>
                  <a:lstStyle/>
                  <a:p>
                    <a:r>
                      <a:rPr lang="en-US"/>
                      <a:t>320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6-B355-4307-86EB-99B2E2A4EAEC}"/>
                </c:ext>
              </c:extLst>
            </c:dLbl>
            <c:dLbl>
              <c:idx val="23"/>
              <c:tx>
                <c:rich>
                  <a:bodyPr/>
                  <a:lstStyle/>
                  <a:p>
                    <a:r>
                      <a:rPr lang="en-US"/>
                      <a:t>5159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7-B355-4307-86EB-99B2E2A4EAEC}"/>
                </c:ext>
              </c:extLst>
            </c:dLbl>
            <c:dLbl>
              <c:idx val="24"/>
              <c:tx>
                <c:rich>
                  <a:bodyPr/>
                  <a:lstStyle/>
                  <a:p>
                    <a:r>
                      <a:rPr lang="en-US"/>
                      <a:t>417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8-B355-4307-86EB-99B2E2A4EAEC}"/>
                </c:ext>
              </c:extLst>
            </c:dLbl>
            <c:dLbl>
              <c:idx val="25"/>
              <c:tx>
                <c:rich>
                  <a:bodyPr/>
                  <a:lstStyle/>
                  <a:p>
                    <a:r>
                      <a:rPr lang="en-US"/>
                      <a:t>1774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9-B355-4307-86EB-99B2E2A4EAEC}"/>
                </c:ext>
              </c:extLst>
            </c:dLbl>
            <c:dLbl>
              <c:idx val="26"/>
              <c:tx>
                <c:rich>
                  <a:bodyPr/>
                  <a:lstStyle/>
                  <a:p>
                    <a:r>
                      <a:rPr lang="en-US"/>
                      <a:t>834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A-B355-4307-86EB-99B2E2A4EAEC}"/>
                </c:ext>
              </c:extLst>
            </c:dLbl>
            <c:spPr>
              <a:noFill/>
              <a:ln w="25400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E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'Incidencias por tipologia'!$A$1:$A$27</c:f>
              <c:strCache>
                <c:ptCount val="27"/>
                <c:pt idx="0">
                  <c:v> Aceras y calzadas</c:v>
                </c:pt>
                <c:pt idx="1">
                  <c:v> Alcantarillado</c:v>
                </c:pt>
                <c:pt idx="2">
                  <c:v>Alquiler turistico ilegal</c:v>
                </c:pt>
                <c:pt idx="3">
                  <c:v> Alumbrado</c:v>
                </c:pt>
                <c:pt idx="4">
                  <c:v> Averias de Agua</c:v>
                </c:pt>
                <c:pt idx="5">
                  <c:v> Barreras arquitectónicas-Accesibilidad</c:v>
                </c:pt>
                <c:pt idx="6">
                  <c:v> Calles y números (señalización y placas)</c:v>
                </c:pt>
                <c:pt idx="7">
                  <c:v>Comunicacion presencia de gatos</c:v>
                </c:pt>
                <c:pt idx="8">
                  <c:v> Contenedores </c:v>
                </c:pt>
                <c:pt idx="9">
                  <c:v>Excrementos via publica </c:v>
                </c:pt>
                <c:pt idx="10">
                  <c:v>Invasion vegetacion via publica</c:v>
                </c:pt>
                <c:pt idx="11">
                  <c:v> Jardines </c:v>
                </c:pt>
                <c:pt idx="12">
                  <c:v> Limpieza Playas</c:v>
                </c:pt>
                <c:pt idx="13">
                  <c:v> Limpieza viaria</c:v>
                </c:pt>
                <c:pt idx="14">
                  <c:v> Mobiliario Urbano</c:v>
                </c:pt>
                <c:pt idx="15">
                  <c:v> papeleras</c:v>
                </c:pt>
                <c:pt idx="16">
                  <c:v> Parques </c:v>
                </c:pt>
                <c:pt idx="17">
                  <c:v> Plagas de insectos y roedores</c:v>
                </c:pt>
                <c:pt idx="18">
                  <c:v> Playas</c:v>
                </c:pt>
                <c:pt idx="19">
                  <c:v> Quejas y Sugerencias</c:v>
                </c:pt>
                <c:pt idx="20">
                  <c:v> Puntos de recarga para vehiculos electricos</c:v>
                </c:pt>
                <c:pt idx="21">
                  <c:v> Retirada de Vehículos abandonados</c:v>
                </c:pt>
                <c:pt idx="22">
                  <c:v> Solares abandonados</c:v>
                </c:pt>
                <c:pt idx="23">
                  <c:v> Señales verticales y horizontales</c:v>
                </c:pt>
                <c:pt idx="24">
                  <c:v>Vandalismo - Pintadas</c:v>
                </c:pt>
                <c:pt idx="25">
                  <c:v> Vertederos incontrolados</c:v>
                </c:pt>
                <c:pt idx="26">
                  <c:v> Zelador playas</c:v>
                </c:pt>
              </c:strCache>
            </c:strRef>
          </c:cat>
          <c:val>
            <c:numRef>
              <c:f>'Incidencias por tipologia'!$B$1:$B$27</c:f>
              <c:numCache>
                <c:formatCode>General</c:formatCode>
                <c:ptCount val="27"/>
                <c:pt idx="0">
                  <c:v>4942</c:v>
                </c:pt>
                <c:pt idx="1">
                  <c:v>770</c:v>
                </c:pt>
                <c:pt idx="2">
                  <c:v>157</c:v>
                </c:pt>
                <c:pt idx="3">
                  <c:v>2306</c:v>
                </c:pt>
                <c:pt idx="4">
                  <c:v>1273</c:v>
                </c:pt>
                <c:pt idx="5">
                  <c:v>374</c:v>
                </c:pt>
                <c:pt idx="6">
                  <c:v>248</c:v>
                </c:pt>
                <c:pt idx="7">
                  <c:v>295</c:v>
                </c:pt>
                <c:pt idx="8">
                  <c:v>1019</c:v>
                </c:pt>
                <c:pt idx="9">
                  <c:v>761</c:v>
                </c:pt>
                <c:pt idx="10">
                  <c:v>880</c:v>
                </c:pt>
                <c:pt idx="11">
                  <c:v>847</c:v>
                </c:pt>
                <c:pt idx="12">
                  <c:v>147</c:v>
                </c:pt>
                <c:pt idx="13">
                  <c:v>1166</c:v>
                </c:pt>
                <c:pt idx="14">
                  <c:v>798</c:v>
                </c:pt>
                <c:pt idx="15">
                  <c:v>289</c:v>
                </c:pt>
                <c:pt idx="16">
                  <c:v>822</c:v>
                </c:pt>
                <c:pt idx="17">
                  <c:v>523</c:v>
                </c:pt>
                <c:pt idx="18">
                  <c:v>731</c:v>
                </c:pt>
                <c:pt idx="19">
                  <c:v>1199</c:v>
                </c:pt>
                <c:pt idx="20">
                  <c:v>33</c:v>
                </c:pt>
                <c:pt idx="21">
                  <c:v>5598</c:v>
                </c:pt>
                <c:pt idx="22">
                  <c:v>253</c:v>
                </c:pt>
                <c:pt idx="23">
                  <c:v>3670</c:v>
                </c:pt>
                <c:pt idx="24">
                  <c:v>314</c:v>
                </c:pt>
                <c:pt idx="25">
                  <c:v>1192</c:v>
                </c:pt>
                <c:pt idx="26">
                  <c:v>596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B-B355-4307-86EB-99B2E2A4EAE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409334800"/>
        <c:axId val="1"/>
      </c:barChart>
      <c:catAx>
        <c:axId val="40933480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6350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  <c:crossAx val="409334800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530</Words>
  <Characters>3128</Characters>
  <Application>Microsoft Office Word</Application>
  <DocSecurity>0</DocSecurity>
  <Lines>69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Alcaldía 2 AYSE</cp:lastModifiedBy>
  <cp:revision>2</cp:revision>
  <cp:lastPrinted>2026-07-29T10:10:00Z</cp:lastPrinted>
  <dcterms:created xsi:type="dcterms:W3CDTF">2026-07-29T10:11:00Z</dcterms:created>
  <dcterms:modified xsi:type="dcterms:W3CDTF">2026-07-29T10:11:00Z</dcterms:modified>
  <cp:category/>
</cp:coreProperties>
</file>